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A8764">
      <w:pPr>
        <w:rPr>
          <w:rFonts w:hint="eastAsia" w:ascii="仿宋" w:hAnsi="仿宋" w:eastAsia="仿宋"/>
          <w:sz w:val="28"/>
          <w:szCs w:val="28"/>
        </w:rPr>
      </w:pPr>
    </w:p>
    <w:p w14:paraId="17F673A5">
      <w:pPr>
        <w:rPr>
          <w:rFonts w:hint="eastAsia" w:ascii="仿宋" w:hAnsi="仿宋" w:eastAsia="仿宋"/>
          <w:sz w:val="28"/>
          <w:szCs w:val="28"/>
        </w:rPr>
      </w:pPr>
    </w:p>
    <w:p w14:paraId="3FCAE6F0">
      <w:pPr>
        <w:rPr>
          <w:rFonts w:hint="eastAsia" w:ascii="仿宋" w:hAnsi="仿宋" w:eastAsia="仿宋"/>
          <w:sz w:val="28"/>
          <w:szCs w:val="28"/>
        </w:rPr>
      </w:pPr>
    </w:p>
    <w:p w14:paraId="0AE817F7">
      <w:pPr>
        <w:rPr>
          <w:rFonts w:hint="eastAsia" w:ascii="仿宋" w:hAnsi="仿宋" w:eastAsia="仿宋"/>
          <w:sz w:val="28"/>
          <w:szCs w:val="28"/>
        </w:rPr>
      </w:pPr>
    </w:p>
    <w:p w14:paraId="793CE77E">
      <w:pPr>
        <w:rPr>
          <w:rFonts w:hint="eastAsia" w:ascii="仿宋" w:hAnsi="仿宋" w:eastAsia="仿宋"/>
          <w:sz w:val="28"/>
          <w:szCs w:val="28"/>
        </w:rPr>
      </w:pPr>
    </w:p>
    <w:p w14:paraId="44F4B013">
      <w:pPr>
        <w:jc w:val="center"/>
        <w:rPr>
          <w:rFonts w:ascii="仿宋" w:hAnsi="仿宋" w:eastAsia="仿宋"/>
          <w:b/>
          <w:sz w:val="52"/>
          <w:szCs w:val="52"/>
        </w:rPr>
      </w:pPr>
      <w:r>
        <w:rPr>
          <w:rFonts w:hint="eastAsia" w:ascii="仿宋" w:hAnsi="仿宋" w:eastAsia="仿宋"/>
          <w:b/>
          <w:sz w:val="52"/>
          <w:szCs w:val="52"/>
          <w:lang w:val="en-US" w:eastAsia="zh-CN"/>
        </w:rPr>
        <w:t>会计事务</w:t>
      </w:r>
      <w:r>
        <w:rPr>
          <w:rFonts w:ascii="仿宋" w:hAnsi="仿宋" w:eastAsia="仿宋"/>
          <w:b/>
          <w:sz w:val="52"/>
          <w:szCs w:val="52"/>
        </w:rPr>
        <w:t>专业人才培养方案</w:t>
      </w:r>
    </w:p>
    <w:p w14:paraId="6692E236">
      <w:pPr>
        <w:jc w:val="center"/>
        <w:rPr>
          <w:rFonts w:ascii="仿宋" w:hAnsi="仿宋" w:eastAsia="仿宋"/>
          <w:b/>
          <w:sz w:val="52"/>
          <w:szCs w:val="52"/>
        </w:rPr>
      </w:pPr>
      <w:r>
        <w:rPr>
          <w:rFonts w:hint="eastAsia" w:ascii="仿宋" w:hAnsi="仿宋" w:eastAsia="仿宋"/>
          <w:b/>
          <w:sz w:val="52"/>
          <w:szCs w:val="52"/>
        </w:rPr>
        <w:t>（</w:t>
      </w:r>
      <w:r>
        <w:rPr>
          <w:rFonts w:ascii="仿宋" w:hAnsi="仿宋" w:eastAsia="仿宋"/>
          <w:b/>
          <w:sz w:val="52"/>
          <w:szCs w:val="52"/>
        </w:rPr>
        <w:t>20</w:t>
      </w:r>
      <w:r>
        <w:rPr>
          <w:rFonts w:hint="eastAsia" w:ascii="仿宋" w:hAnsi="仿宋" w:eastAsia="仿宋"/>
          <w:b/>
          <w:sz w:val="52"/>
          <w:szCs w:val="52"/>
        </w:rPr>
        <w:t>25年</w:t>
      </w:r>
      <w:r>
        <w:rPr>
          <w:rFonts w:ascii="仿宋" w:hAnsi="仿宋" w:eastAsia="仿宋"/>
          <w:b/>
          <w:sz w:val="52"/>
          <w:szCs w:val="52"/>
        </w:rPr>
        <w:t>修订）</w:t>
      </w:r>
    </w:p>
    <w:p w14:paraId="7A23684F">
      <w:pPr>
        <w:jc w:val="center"/>
        <w:rPr>
          <w:rFonts w:ascii="仿宋" w:hAnsi="仿宋" w:eastAsia="仿宋"/>
          <w:sz w:val="52"/>
          <w:szCs w:val="52"/>
        </w:rPr>
      </w:pPr>
    </w:p>
    <w:p w14:paraId="04533507">
      <w:pPr>
        <w:jc w:val="center"/>
        <w:rPr>
          <w:rFonts w:ascii="仿宋" w:hAnsi="仿宋" w:eastAsia="仿宋"/>
          <w:sz w:val="52"/>
          <w:szCs w:val="52"/>
        </w:rPr>
      </w:pPr>
    </w:p>
    <w:p w14:paraId="024074E1">
      <w:pPr>
        <w:jc w:val="center"/>
        <w:rPr>
          <w:rFonts w:ascii="仿宋" w:hAnsi="仿宋" w:eastAsia="仿宋"/>
          <w:sz w:val="52"/>
          <w:szCs w:val="52"/>
        </w:rPr>
      </w:pPr>
    </w:p>
    <w:p w14:paraId="11AB5565">
      <w:pPr>
        <w:jc w:val="center"/>
        <w:rPr>
          <w:rFonts w:ascii="仿宋" w:hAnsi="仿宋" w:eastAsia="仿宋"/>
          <w:sz w:val="52"/>
          <w:szCs w:val="52"/>
        </w:rPr>
      </w:pPr>
    </w:p>
    <w:p w14:paraId="37B117DA">
      <w:pPr>
        <w:jc w:val="center"/>
        <w:rPr>
          <w:rFonts w:ascii="仿宋" w:hAnsi="仿宋" w:eastAsia="仿宋"/>
          <w:sz w:val="52"/>
          <w:szCs w:val="52"/>
        </w:rPr>
      </w:pPr>
    </w:p>
    <w:p w14:paraId="08CC16ED">
      <w:pPr>
        <w:jc w:val="center"/>
        <w:rPr>
          <w:rFonts w:ascii="仿宋" w:hAnsi="仿宋" w:eastAsia="仿宋"/>
          <w:sz w:val="52"/>
          <w:szCs w:val="52"/>
        </w:rPr>
      </w:pPr>
    </w:p>
    <w:p w14:paraId="2696022F">
      <w:pPr>
        <w:jc w:val="center"/>
        <w:rPr>
          <w:rFonts w:ascii="仿宋" w:hAnsi="仿宋" w:eastAsia="仿宋"/>
          <w:sz w:val="52"/>
          <w:szCs w:val="52"/>
        </w:rPr>
      </w:pPr>
    </w:p>
    <w:p w14:paraId="153A551D">
      <w:pPr>
        <w:jc w:val="center"/>
        <w:rPr>
          <w:rFonts w:ascii="仿宋" w:hAnsi="仿宋" w:eastAsia="仿宋"/>
          <w:sz w:val="52"/>
          <w:szCs w:val="52"/>
        </w:rPr>
      </w:pPr>
    </w:p>
    <w:p w14:paraId="64DB69BD">
      <w:pPr>
        <w:jc w:val="center"/>
        <w:rPr>
          <w:rFonts w:ascii="仿宋" w:hAnsi="仿宋" w:eastAsia="仿宋"/>
          <w:sz w:val="52"/>
          <w:szCs w:val="52"/>
        </w:rPr>
      </w:pPr>
    </w:p>
    <w:p w14:paraId="1E19EC3C">
      <w:pPr>
        <w:jc w:val="center"/>
        <w:rPr>
          <w:rFonts w:ascii="仿宋" w:hAnsi="仿宋" w:eastAsia="仿宋"/>
          <w:b/>
          <w:sz w:val="44"/>
          <w:szCs w:val="28"/>
        </w:rPr>
      </w:pPr>
      <w:r>
        <w:rPr>
          <w:rFonts w:hint="eastAsia" w:ascii="仿宋" w:hAnsi="仿宋" w:eastAsia="仿宋"/>
          <w:b/>
          <w:sz w:val="44"/>
          <w:szCs w:val="28"/>
        </w:rPr>
        <w:t>目</w:t>
      </w:r>
      <w:r>
        <w:rPr>
          <w:rFonts w:ascii="仿宋" w:hAnsi="仿宋" w:eastAsia="仿宋"/>
          <w:b/>
          <w:sz w:val="44"/>
          <w:szCs w:val="28"/>
        </w:rPr>
        <w:t xml:space="preserve"> 录</w:t>
      </w:r>
    </w:p>
    <w:p w14:paraId="3AB68329">
      <w:pPr>
        <w:spacing w:line="240" w:lineRule="auto"/>
        <w:jc w:val="left"/>
        <w:rPr>
          <w:rFonts w:hint="eastAsia" w:ascii="仿宋" w:hAnsi="仿宋" w:eastAsia="仿宋"/>
          <w:sz w:val="28"/>
          <w:szCs w:val="28"/>
        </w:rPr>
      </w:pPr>
      <w:r>
        <w:rPr>
          <w:rFonts w:hint="eastAsia" w:ascii="仿宋" w:hAnsi="仿宋" w:eastAsia="仿宋"/>
          <w:sz w:val="28"/>
          <w:szCs w:val="28"/>
        </w:rPr>
        <w:t>一、概述</w:t>
      </w:r>
    </w:p>
    <w:p w14:paraId="1E18E960">
      <w:pPr>
        <w:spacing w:line="240" w:lineRule="auto"/>
        <w:jc w:val="left"/>
        <w:rPr>
          <w:rFonts w:ascii="仿宋" w:hAnsi="仿宋" w:eastAsia="仿宋"/>
          <w:sz w:val="28"/>
          <w:szCs w:val="28"/>
        </w:rPr>
      </w:pPr>
      <w:r>
        <w:rPr>
          <w:rFonts w:hint="eastAsia" w:ascii="仿宋" w:hAnsi="仿宋" w:eastAsia="仿宋"/>
          <w:sz w:val="28"/>
          <w:szCs w:val="28"/>
          <w:lang w:val="en-US" w:eastAsia="zh-CN"/>
        </w:rPr>
        <w:t>二</w:t>
      </w:r>
      <w:r>
        <w:rPr>
          <w:rFonts w:hint="eastAsia" w:ascii="仿宋" w:hAnsi="仿宋" w:eastAsia="仿宋"/>
          <w:sz w:val="28"/>
          <w:szCs w:val="28"/>
        </w:rPr>
        <w:t>、</w:t>
      </w:r>
      <w:r>
        <w:rPr>
          <w:rFonts w:ascii="仿宋" w:hAnsi="仿宋" w:eastAsia="仿宋"/>
          <w:sz w:val="28"/>
          <w:szCs w:val="28"/>
        </w:rPr>
        <w:t xml:space="preserve"> 专业名称及代码....</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....1</w:t>
      </w:r>
    </w:p>
    <w:p w14:paraId="3CA26F54">
      <w:pPr>
        <w:spacing w:line="240" w:lineRule="auto"/>
        <w:jc w:val="left"/>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w:t>
      </w:r>
      <w:r>
        <w:rPr>
          <w:rFonts w:ascii="仿宋" w:hAnsi="仿宋" w:eastAsia="仿宋"/>
          <w:sz w:val="28"/>
          <w:szCs w:val="28"/>
        </w:rPr>
        <w:t xml:space="preserve"> 入学要求....</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 .... 1</w:t>
      </w:r>
    </w:p>
    <w:p w14:paraId="1D993597">
      <w:pPr>
        <w:spacing w:line="240" w:lineRule="auto"/>
        <w:jc w:val="left"/>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w:t>
      </w:r>
      <w:r>
        <w:rPr>
          <w:rFonts w:ascii="仿宋" w:hAnsi="仿宋" w:eastAsia="仿宋"/>
          <w:sz w:val="28"/>
          <w:szCs w:val="28"/>
        </w:rPr>
        <w:t xml:space="preserve"> 修业年限....</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 .... .1</w:t>
      </w:r>
    </w:p>
    <w:p w14:paraId="50ADBF29">
      <w:pPr>
        <w:spacing w:line="240" w:lineRule="auto"/>
        <w:jc w:val="left"/>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w:t>
      </w:r>
      <w:r>
        <w:rPr>
          <w:rFonts w:ascii="仿宋" w:hAnsi="仿宋" w:eastAsia="仿宋"/>
          <w:sz w:val="28"/>
          <w:szCs w:val="28"/>
        </w:rPr>
        <w:t xml:space="preserve"> 职业面向....</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 .... .1</w:t>
      </w:r>
    </w:p>
    <w:p w14:paraId="30EE16F4">
      <w:pPr>
        <w:spacing w:line="240" w:lineRule="auto"/>
        <w:jc w:val="left"/>
        <w:rPr>
          <w:rFonts w:ascii="仿宋" w:hAnsi="仿宋" w:eastAsia="仿宋"/>
          <w:sz w:val="28"/>
          <w:szCs w:val="28"/>
        </w:rPr>
      </w:pPr>
      <w:r>
        <w:rPr>
          <w:rFonts w:hint="eastAsia" w:ascii="仿宋" w:hAnsi="仿宋" w:eastAsia="仿宋"/>
          <w:sz w:val="28"/>
          <w:szCs w:val="28"/>
          <w:lang w:eastAsia="zh-CN"/>
        </w:rPr>
        <w:t>六</w:t>
      </w:r>
      <w:r>
        <w:rPr>
          <w:rFonts w:hint="eastAsia" w:ascii="仿宋" w:hAnsi="仿宋" w:eastAsia="仿宋"/>
          <w:sz w:val="28"/>
          <w:szCs w:val="28"/>
        </w:rPr>
        <w:t>、</w:t>
      </w:r>
      <w:r>
        <w:rPr>
          <w:rFonts w:ascii="仿宋" w:hAnsi="仿宋" w:eastAsia="仿宋"/>
          <w:sz w:val="28"/>
          <w:szCs w:val="28"/>
        </w:rPr>
        <w:t xml:space="preserve"> 培养目标与培养规格....</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2</w:t>
      </w:r>
    </w:p>
    <w:p w14:paraId="003D2D57">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一） 培养目标....</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....2</w:t>
      </w:r>
    </w:p>
    <w:p w14:paraId="3D2A76BC">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二） 培养规格....</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....2</w:t>
      </w:r>
    </w:p>
    <w:p w14:paraId="417AA112">
      <w:pPr>
        <w:spacing w:line="240" w:lineRule="auto"/>
        <w:jc w:val="left"/>
        <w:rPr>
          <w:rFonts w:ascii="仿宋" w:hAnsi="仿宋" w:eastAsia="仿宋"/>
          <w:sz w:val="28"/>
          <w:szCs w:val="28"/>
        </w:rPr>
      </w:pPr>
      <w:r>
        <w:rPr>
          <w:rFonts w:hint="eastAsia" w:ascii="仿宋" w:hAnsi="仿宋" w:eastAsia="仿宋"/>
          <w:sz w:val="28"/>
          <w:szCs w:val="28"/>
          <w:lang w:eastAsia="zh-CN"/>
        </w:rPr>
        <w:t>七</w:t>
      </w:r>
      <w:r>
        <w:rPr>
          <w:rFonts w:hint="eastAsia" w:ascii="仿宋" w:hAnsi="仿宋" w:eastAsia="仿宋"/>
          <w:sz w:val="28"/>
          <w:szCs w:val="28"/>
        </w:rPr>
        <w:t>、</w:t>
      </w:r>
      <w:r>
        <w:rPr>
          <w:rFonts w:ascii="仿宋" w:hAnsi="仿宋" w:eastAsia="仿宋"/>
          <w:sz w:val="28"/>
          <w:szCs w:val="28"/>
        </w:rPr>
        <w:t xml:space="preserve"> 课程设置及要求....</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....4</w:t>
      </w:r>
    </w:p>
    <w:p w14:paraId="07348957">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一） 公共基础课程....</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4</w:t>
      </w:r>
    </w:p>
    <w:p w14:paraId="3F237D26">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二） 专业技能课程....</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.6</w:t>
      </w:r>
    </w:p>
    <w:p w14:paraId="25A9F1B7">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三） 跟岗实习和顶岗实习....</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...11</w:t>
      </w:r>
    </w:p>
    <w:p w14:paraId="4EA98129">
      <w:pPr>
        <w:spacing w:line="240" w:lineRule="auto"/>
        <w:jc w:val="left"/>
        <w:rPr>
          <w:rFonts w:ascii="仿宋" w:hAnsi="仿宋" w:eastAsia="仿宋"/>
          <w:sz w:val="28"/>
          <w:szCs w:val="28"/>
        </w:rPr>
      </w:pPr>
      <w:r>
        <w:rPr>
          <w:rFonts w:hint="eastAsia" w:ascii="仿宋" w:hAnsi="仿宋" w:eastAsia="仿宋"/>
          <w:sz w:val="28"/>
          <w:szCs w:val="28"/>
          <w:lang w:eastAsia="zh-CN"/>
        </w:rPr>
        <w:t>八</w:t>
      </w:r>
      <w:r>
        <w:rPr>
          <w:rFonts w:hint="eastAsia" w:ascii="仿宋" w:hAnsi="仿宋" w:eastAsia="仿宋"/>
          <w:sz w:val="28"/>
          <w:szCs w:val="28"/>
        </w:rPr>
        <w:t>、</w:t>
      </w:r>
      <w:r>
        <w:rPr>
          <w:rFonts w:ascii="仿宋" w:hAnsi="仿宋" w:eastAsia="仿宋"/>
          <w:sz w:val="28"/>
          <w:szCs w:val="28"/>
        </w:rPr>
        <w:t xml:space="preserve"> 教学进程总体安排 ....</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.12</w:t>
      </w:r>
    </w:p>
    <w:p w14:paraId="4995E476">
      <w:pPr>
        <w:spacing w:line="240" w:lineRule="auto"/>
        <w:jc w:val="left"/>
        <w:rPr>
          <w:rFonts w:ascii="仿宋" w:hAnsi="仿宋" w:eastAsia="仿宋"/>
          <w:sz w:val="28"/>
          <w:szCs w:val="28"/>
        </w:rPr>
      </w:pPr>
      <w:r>
        <w:rPr>
          <w:rFonts w:hint="eastAsia" w:ascii="仿宋" w:hAnsi="仿宋" w:eastAsia="仿宋"/>
          <w:sz w:val="28"/>
          <w:szCs w:val="28"/>
          <w:lang w:eastAsia="zh-CN"/>
        </w:rPr>
        <w:t>九</w:t>
      </w:r>
      <w:r>
        <w:rPr>
          <w:rFonts w:hint="eastAsia" w:ascii="仿宋" w:hAnsi="仿宋" w:eastAsia="仿宋"/>
          <w:sz w:val="28"/>
          <w:szCs w:val="28"/>
        </w:rPr>
        <w:t>、</w:t>
      </w:r>
      <w:r>
        <w:rPr>
          <w:rFonts w:ascii="仿宋" w:hAnsi="仿宋" w:eastAsia="仿宋"/>
          <w:sz w:val="28"/>
          <w:szCs w:val="28"/>
        </w:rPr>
        <w:t xml:space="preserve"> 实施保障....</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 .... .13</w:t>
      </w:r>
    </w:p>
    <w:p w14:paraId="7F46AC93">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一） 师资队伍....</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....13</w:t>
      </w:r>
    </w:p>
    <w:p w14:paraId="5F8A2422">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二） 教学设施....</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....14</w:t>
      </w:r>
    </w:p>
    <w:p w14:paraId="308A27A4">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三） 教学资源....</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....15</w:t>
      </w:r>
    </w:p>
    <w:p w14:paraId="5FA73A56">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四） 教学方法....</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....15</w:t>
      </w:r>
    </w:p>
    <w:p w14:paraId="6D6C2AE0">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五） 学习评价....</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....15</w:t>
      </w:r>
    </w:p>
    <w:p w14:paraId="1692BA10">
      <w:pPr>
        <w:spacing w:line="240" w:lineRule="auto"/>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六） 质量管理....</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....17</w:t>
      </w:r>
    </w:p>
    <w:p w14:paraId="397DAAE4">
      <w:pPr>
        <w:spacing w:line="240" w:lineRule="auto"/>
        <w:jc w:val="left"/>
        <w:rPr>
          <w:rFonts w:ascii="仿宋" w:hAnsi="仿宋" w:eastAsia="仿宋"/>
          <w:sz w:val="28"/>
          <w:szCs w:val="28"/>
        </w:rPr>
      </w:pPr>
      <w:r>
        <w:rPr>
          <w:rFonts w:hint="eastAsia" w:ascii="仿宋" w:hAnsi="仿宋" w:eastAsia="仿宋"/>
          <w:sz w:val="28"/>
          <w:szCs w:val="28"/>
          <w:lang w:eastAsia="zh-CN"/>
        </w:rPr>
        <w:t>十</w:t>
      </w:r>
      <w:r>
        <w:rPr>
          <w:rFonts w:hint="eastAsia" w:ascii="仿宋" w:hAnsi="仿宋" w:eastAsia="仿宋"/>
          <w:sz w:val="28"/>
          <w:szCs w:val="28"/>
        </w:rPr>
        <w:t>、</w:t>
      </w:r>
      <w:r>
        <w:rPr>
          <w:rFonts w:ascii="仿宋" w:hAnsi="仿宋" w:eastAsia="仿宋"/>
          <w:sz w:val="28"/>
          <w:szCs w:val="28"/>
        </w:rPr>
        <w:t xml:space="preserve"> 毕业要求....</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bookmarkStart w:id="2" w:name="_GoBack"/>
      <w:bookmarkEnd w:id="2"/>
      <w:r>
        <w:t xml:space="preserve"> </w:t>
      </w:r>
      <w:r>
        <w:rPr>
          <w:rFonts w:ascii="仿宋" w:hAnsi="仿宋" w:eastAsia="仿宋"/>
          <w:sz w:val="28"/>
          <w:szCs w:val="28"/>
        </w:rPr>
        <w:t>........ .... .17</w:t>
      </w:r>
    </w:p>
    <w:p w14:paraId="1979FA3B">
      <w:pPr>
        <w:spacing w:line="240" w:lineRule="auto"/>
        <w:jc w:val="left"/>
        <w:rPr>
          <w:rFonts w:ascii="仿宋" w:hAnsi="仿宋" w:eastAsia="仿宋"/>
          <w:sz w:val="28"/>
          <w:szCs w:val="28"/>
        </w:rPr>
      </w:pPr>
      <w:r>
        <w:rPr>
          <w:rFonts w:hint="eastAsia" w:ascii="仿宋" w:hAnsi="仿宋" w:eastAsia="仿宋"/>
          <w:sz w:val="28"/>
          <w:szCs w:val="28"/>
        </w:rPr>
        <w:t>十</w:t>
      </w:r>
      <w:r>
        <w:rPr>
          <w:rFonts w:hint="eastAsia" w:ascii="仿宋" w:hAnsi="仿宋" w:eastAsia="仿宋"/>
          <w:sz w:val="28"/>
          <w:szCs w:val="28"/>
          <w:lang w:eastAsia="zh-CN"/>
        </w:rPr>
        <w:t>一</w:t>
      </w:r>
      <w:r>
        <w:rPr>
          <w:rFonts w:hint="eastAsia" w:ascii="仿宋" w:hAnsi="仿宋" w:eastAsia="仿宋"/>
          <w:sz w:val="28"/>
          <w:szCs w:val="28"/>
        </w:rPr>
        <w:t>、</w:t>
      </w:r>
      <w:r>
        <w:rPr>
          <w:rFonts w:ascii="仿宋" w:hAnsi="仿宋" w:eastAsia="仿宋"/>
          <w:sz w:val="28"/>
          <w:szCs w:val="28"/>
        </w:rPr>
        <w:t xml:space="preserve"> 附录....</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w:t>
      </w:r>
      <w:r>
        <w:t xml:space="preserve"> </w:t>
      </w:r>
      <w:r>
        <w:rPr>
          <w:rFonts w:ascii="仿宋" w:hAnsi="仿宋" w:eastAsia="仿宋"/>
          <w:sz w:val="28"/>
          <w:szCs w:val="28"/>
        </w:rPr>
        <w:t>... ..... .... ....18</w:t>
      </w:r>
    </w:p>
    <w:p w14:paraId="64F9BD29">
      <w:pPr>
        <w:jc w:val="center"/>
        <w:rPr>
          <w:rFonts w:ascii="仿宋" w:hAnsi="仿宋" w:eastAsia="仿宋"/>
          <w:b/>
          <w:sz w:val="52"/>
          <w:szCs w:val="52"/>
        </w:rPr>
      </w:pPr>
      <w:r>
        <w:rPr>
          <w:rFonts w:ascii="仿宋" w:hAnsi="仿宋" w:eastAsia="仿宋"/>
          <w:sz w:val="28"/>
          <w:szCs w:val="28"/>
        </w:rPr>
        <w:br w:type="page"/>
      </w:r>
      <w:r>
        <w:rPr>
          <w:rFonts w:hint="eastAsia" w:ascii="黑体" w:hAnsi="黑体" w:eastAsia="黑体"/>
          <w:sz w:val="40"/>
          <w:szCs w:val="30"/>
          <w:lang w:eastAsia="zh-CN"/>
        </w:rPr>
        <w:t>会计事务</w:t>
      </w:r>
      <w:r>
        <w:rPr>
          <w:rFonts w:ascii="黑体" w:hAnsi="黑体" w:eastAsia="黑体"/>
          <w:sz w:val="40"/>
          <w:szCs w:val="30"/>
        </w:rPr>
        <w:t>专业人才培养方案</w:t>
      </w:r>
    </w:p>
    <w:p w14:paraId="1398B0E5">
      <w:pPr>
        <w:pStyle w:val="2"/>
        <w:numPr>
          <w:ilvl w:val="0"/>
          <w:numId w:val="0"/>
        </w:numPr>
        <w:tabs>
          <w:tab w:val="left" w:pos="459"/>
        </w:tabs>
        <w:spacing w:before="60" w:after="0" w:line="240" w:lineRule="auto"/>
        <w:ind w:left="107" w:leftChars="0" w:right="0" w:rightChars="0" w:firstLine="300" w:firstLineChars="100"/>
        <w:jc w:val="both"/>
        <w:rPr>
          <w:rFonts w:hint="eastAsia" w:ascii="黑体" w:hAnsi="黑体" w:eastAsia="黑体" w:cstheme="minorBidi"/>
          <w:kern w:val="2"/>
          <w:sz w:val="30"/>
          <w:szCs w:val="30"/>
          <w:lang w:val="en-US" w:eastAsia="zh-CN" w:bidi="ar-SA"/>
        </w:rPr>
      </w:pPr>
      <w:r>
        <w:rPr>
          <w:rFonts w:hint="eastAsia" w:ascii="黑体" w:hAnsi="黑体" w:eastAsia="黑体" w:cstheme="minorBidi"/>
          <w:kern w:val="2"/>
          <w:sz w:val="30"/>
          <w:szCs w:val="30"/>
          <w:lang w:val="en-US" w:eastAsia="zh-CN" w:bidi="ar-SA"/>
        </w:rPr>
        <w:t>一、概述</w:t>
      </w:r>
    </w:p>
    <w:p w14:paraId="390755E8">
      <w:pPr>
        <w:pStyle w:val="3"/>
        <w:spacing w:before="185" w:line="281" w:lineRule="auto"/>
        <w:ind w:left="44" w:right="29" w:firstLine="435"/>
        <w:jc w:val="both"/>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为适应科技发展、技术进步对行业生产、建设、管理、服务等领域带来的新变化，顺应 会计行业数字化、网络化、智能化发展的新趋势，对接新产业、新业态、新模式下企事业单 位出纳、会计、财税代理服务、会计信息系统运营服务等岗位（群）的新要求，不断满足会 计行业高质量发展对高素质技能人才的需求，推动职业教育专业升级和数字化改造，提高人 才培养质量，遵循推进现代职业教育高质量发展的总体要求，参照国家相关标准编制要求， 制订本标准。</w:t>
      </w:r>
    </w:p>
    <w:p w14:paraId="39C7338A">
      <w:pPr>
        <w:pStyle w:val="3"/>
        <w:spacing w:line="282" w:lineRule="auto"/>
        <w:ind w:left="43" w:right="29" w:firstLine="434"/>
        <w:jc w:val="both"/>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专业教学直接决定高素质技能人才培养的质量，专业教学标准是开展专业教学的基本依 据。本标准落实中职基础性定位，推动多样化发展，是全国中等职业教育会计事务专业教学 的基本标准，学校应结合区域/行业实际和自身办学定位，依据本标准制订本校会计事务专业 人才培养方案，办出水平，办出特色。</w:t>
      </w:r>
    </w:p>
    <w:p w14:paraId="233FD45F">
      <w:pPr>
        <w:overflowPunct w:val="0"/>
        <w:ind w:firstLine="600" w:firstLineChars="200"/>
        <w:rPr>
          <w:rFonts w:ascii="仿宋" w:hAnsi="仿宋" w:eastAsia="仿宋"/>
          <w:sz w:val="28"/>
          <w:szCs w:val="28"/>
        </w:rPr>
      </w:pPr>
      <w:r>
        <w:rPr>
          <w:rFonts w:hint="eastAsia" w:ascii="黑体" w:hAnsi="黑体" w:eastAsia="黑体"/>
          <w:sz w:val="30"/>
          <w:szCs w:val="30"/>
          <w:lang w:eastAsia="zh-CN"/>
        </w:rPr>
        <w:t>二</w:t>
      </w:r>
      <w:r>
        <w:rPr>
          <w:rFonts w:hint="eastAsia" w:ascii="黑体" w:hAnsi="黑体" w:eastAsia="黑体"/>
          <w:sz w:val="30"/>
          <w:szCs w:val="30"/>
        </w:rPr>
        <w:t>、专业名称及代码</w:t>
      </w:r>
    </w:p>
    <w:p w14:paraId="6F9651AB">
      <w:pPr>
        <w:overflowPunct w:val="0"/>
        <w:ind w:firstLine="1200" w:firstLineChars="400"/>
        <w:rPr>
          <w:rFonts w:ascii="仿宋_GB2312" w:eastAsia="仿宋_GB2312"/>
          <w:sz w:val="30"/>
          <w:szCs w:val="30"/>
        </w:rPr>
      </w:pPr>
      <w:r>
        <w:rPr>
          <w:rFonts w:hint="eastAsia" w:ascii="仿宋_GB2312" w:eastAsia="仿宋_GB2312"/>
          <w:sz w:val="30"/>
          <w:szCs w:val="30"/>
          <w:lang w:eastAsia="zh-CN"/>
        </w:rPr>
        <w:t>会计事务</w:t>
      </w:r>
      <w:r>
        <w:rPr>
          <w:rFonts w:hint="eastAsia" w:ascii="仿宋_GB2312" w:eastAsia="仿宋_GB2312"/>
          <w:sz w:val="30"/>
          <w:szCs w:val="30"/>
          <w:lang w:val="en-US" w:eastAsia="zh-CN"/>
        </w:rPr>
        <w:t xml:space="preserve"> （730301）</w:t>
      </w:r>
    </w:p>
    <w:p w14:paraId="6A124C7E">
      <w:pPr>
        <w:overflowPunct w:val="0"/>
        <w:ind w:firstLine="600" w:firstLineChars="200"/>
        <w:rPr>
          <w:rFonts w:eastAsia="黑体"/>
          <w:sz w:val="30"/>
          <w:szCs w:val="30"/>
        </w:rPr>
      </w:pPr>
      <w:r>
        <w:rPr>
          <w:rFonts w:hint="eastAsia" w:ascii="黑体" w:hAnsi="黑体" w:eastAsia="黑体"/>
          <w:sz w:val="30"/>
          <w:szCs w:val="30"/>
          <w:lang w:eastAsia="zh-CN"/>
        </w:rPr>
        <w:t>三</w:t>
      </w:r>
      <w:r>
        <w:rPr>
          <w:rFonts w:hint="eastAsia" w:ascii="黑体" w:hAnsi="黑体" w:eastAsia="黑体"/>
          <w:sz w:val="30"/>
          <w:szCs w:val="30"/>
        </w:rPr>
        <w:t>、入学要求</w:t>
      </w:r>
    </w:p>
    <w:p w14:paraId="29599553">
      <w:pPr>
        <w:overflowPunct w:val="0"/>
        <w:ind w:firstLine="1200" w:firstLineChars="400"/>
        <w:rPr>
          <w:rFonts w:ascii="仿宋_GB2312" w:eastAsia="仿宋_GB2312"/>
          <w:sz w:val="30"/>
          <w:szCs w:val="30"/>
        </w:rPr>
      </w:pPr>
      <w:r>
        <w:rPr>
          <w:rFonts w:hint="eastAsia" w:ascii="仿宋_GB2312" w:eastAsia="仿宋_GB2312"/>
          <w:sz w:val="30"/>
          <w:szCs w:val="30"/>
        </w:rPr>
        <w:t>初中毕业生或具有同等学力者</w:t>
      </w:r>
    </w:p>
    <w:p w14:paraId="1BF4F581">
      <w:pPr>
        <w:overflowPunct w:val="0"/>
        <w:ind w:firstLine="600" w:firstLineChars="200"/>
        <w:rPr>
          <w:rFonts w:eastAsia="黑体"/>
          <w:sz w:val="30"/>
          <w:szCs w:val="30"/>
        </w:rPr>
      </w:pPr>
      <w:r>
        <w:rPr>
          <w:rFonts w:hint="eastAsia" w:ascii="黑体" w:hAnsi="黑体" w:eastAsia="黑体"/>
          <w:sz w:val="30"/>
          <w:szCs w:val="30"/>
          <w:lang w:eastAsia="zh-CN"/>
        </w:rPr>
        <w:t>四</w:t>
      </w:r>
      <w:r>
        <w:rPr>
          <w:rFonts w:hint="eastAsia" w:ascii="黑体" w:hAnsi="黑体" w:eastAsia="黑体"/>
          <w:sz w:val="30"/>
          <w:szCs w:val="30"/>
        </w:rPr>
        <w:t>、修业年限</w:t>
      </w:r>
    </w:p>
    <w:p w14:paraId="782E7DCB">
      <w:pPr>
        <w:overflowPunct w:val="0"/>
        <w:ind w:firstLine="1200" w:firstLineChars="400"/>
        <w:rPr>
          <w:rFonts w:hint="eastAsia" w:ascii="仿宋_GB2312" w:eastAsia="仿宋_GB2312"/>
          <w:sz w:val="30"/>
          <w:szCs w:val="30"/>
          <w:lang w:eastAsia="zh-CN"/>
        </w:rPr>
      </w:pPr>
      <w:r>
        <w:rPr>
          <w:rFonts w:hint="eastAsia" w:ascii="仿宋_GB2312" w:eastAsia="仿宋_GB2312"/>
          <w:sz w:val="30"/>
          <w:szCs w:val="30"/>
          <w:lang w:eastAsia="zh-CN"/>
        </w:rPr>
        <w:t>三年</w:t>
      </w:r>
    </w:p>
    <w:p w14:paraId="56B9F666">
      <w:pPr>
        <w:overflowPunct w:val="0"/>
        <w:ind w:firstLine="600" w:firstLineChars="200"/>
        <w:rPr>
          <w:rFonts w:hint="eastAsia" w:ascii="黑体" w:hAnsi="黑体" w:eastAsia="黑体"/>
          <w:sz w:val="30"/>
          <w:szCs w:val="30"/>
          <w:lang w:val="en-US" w:eastAsia="zh-CN"/>
        </w:rPr>
      </w:pPr>
      <w:r>
        <w:rPr>
          <w:rFonts w:hint="eastAsia" w:ascii="黑体" w:hAnsi="黑体" w:eastAsia="黑体"/>
          <w:sz w:val="30"/>
          <w:szCs w:val="30"/>
          <w:lang w:eastAsia="zh-CN"/>
        </w:rPr>
        <w:t>五、职业面向</w:t>
      </w:r>
      <w:r>
        <w:rPr>
          <w:rFonts w:hint="eastAsia" w:ascii="黑体" w:hAnsi="黑体" w:eastAsia="黑体"/>
          <w:sz w:val="30"/>
          <w:szCs w:val="30"/>
          <w:lang w:val="en-US" w:eastAsia="zh-CN"/>
        </w:rPr>
        <w:t xml:space="preserve"> </w:t>
      </w:r>
    </w:p>
    <w:p w14:paraId="5635E6D5">
      <w:pPr>
        <w:spacing w:line="127" w:lineRule="exact"/>
      </w:pPr>
    </w:p>
    <w:tbl>
      <w:tblPr>
        <w:tblStyle w:val="5"/>
        <w:tblW w:w="0" w:type="auto"/>
        <w:tblInd w:w="1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761"/>
        <w:gridCol w:w="4950"/>
      </w:tblGrid>
      <w:tr w14:paraId="2773D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9" w:hRule="atLeast"/>
        </w:trPr>
        <w:tc>
          <w:tcPr>
            <w:tcW w:w="3761" w:type="dxa"/>
            <w:tcBorders>
              <w:left w:val="nil"/>
              <w:bottom w:val="single" w:color="000000" w:sz="4" w:space="0"/>
              <w:right w:val="single" w:color="000000" w:sz="4" w:space="0"/>
            </w:tcBorders>
          </w:tcPr>
          <w:p w14:paraId="207F54E5">
            <w:pPr>
              <w:pStyle w:val="17"/>
              <w:spacing w:before="44"/>
              <w:ind w:left="784" w:right="772"/>
              <w:jc w:val="center"/>
              <w:rPr>
                <w:sz w:val="18"/>
              </w:rPr>
            </w:pPr>
            <w:r>
              <w:rPr>
                <w:sz w:val="18"/>
              </w:rPr>
              <w:t>所属专业大类（代码）</w:t>
            </w:r>
          </w:p>
        </w:tc>
        <w:tc>
          <w:tcPr>
            <w:tcW w:w="4950" w:type="dxa"/>
            <w:tcBorders>
              <w:left w:val="single" w:color="000000" w:sz="4" w:space="0"/>
              <w:bottom w:val="single" w:color="000000" w:sz="4" w:space="0"/>
              <w:right w:val="nil"/>
            </w:tcBorders>
          </w:tcPr>
          <w:p w14:paraId="7FF6668C">
            <w:pPr>
              <w:pStyle w:val="17"/>
              <w:spacing w:before="44"/>
              <w:ind w:left="108" w:right="113"/>
              <w:jc w:val="center"/>
              <w:rPr>
                <w:sz w:val="18"/>
              </w:rPr>
            </w:pPr>
            <w:r>
              <w:rPr>
                <w:sz w:val="18"/>
              </w:rPr>
              <w:t>财经商贸大类（</w:t>
            </w:r>
            <w:r>
              <w:rPr>
                <w:rFonts w:ascii="Times New Roman" w:eastAsia="Times New Roman"/>
                <w:sz w:val="18"/>
              </w:rPr>
              <w:t>73</w:t>
            </w:r>
            <w:r>
              <w:rPr>
                <w:sz w:val="18"/>
              </w:rPr>
              <w:t>）</w:t>
            </w:r>
          </w:p>
        </w:tc>
      </w:tr>
      <w:tr w14:paraId="20E2F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3761" w:type="dxa"/>
            <w:tcBorders>
              <w:top w:val="single" w:color="000000" w:sz="4" w:space="0"/>
              <w:left w:val="nil"/>
              <w:bottom w:val="single" w:color="000000" w:sz="4" w:space="0"/>
              <w:right w:val="single" w:color="000000" w:sz="4" w:space="0"/>
            </w:tcBorders>
          </w:tcPr>
          <w:p w14:paraId="6137EAF1">
            <w:pPr>
              <w:pStyle w:val="17"/>
              <w:spacing w:before="44"/>
              <w:ind w:left="783" w:right="772"/>
              <w:jc w:val="center"/>
              <w:rPr>
                <w:sz w:val="18"/>
              </w:rPr>
            </w:pPr>
            <w:r>
              <w:rPr>
                <w:sz w:val="18"/>
              </w:rPr>
              <w:t>所属专业类（代码）</w:t>
            </w:r>
          </w:p>
        </w:tc>
        <w:tc>
          <w:tcPr>
            <w:tcW w:w="4950" w:type="dxa"/>
            <w:tcBorders>
              <w:top w:val="single" w:color="000000" w:sz="4" w:space="0"/>
              <w:left w:val="single" w:color="000000" w:sz="4" w:space="0"/>
              <w:bottom w:val="single" w:color="000000" w:sz="4" w:space="0"/>
              <w:right w:val="nil"/>
            </w:tcBorders>
          </w:tcPr>
          <w:p w14:paraId="45FA0F4B">
            <w:pPr>
              <w:pStyle w:val="17"/>
              <w:spacing w:before="44"/>
              <w:ind w:left="109" w:right="113"/>
              <w:jc w:val="center"/>
              <w:rPr>
                <w:sz w:val="18"/>
              </w:rPr>
            </w:pPr>
            <w:r>
              <w:rPr>
                <w:sz w:val="18"/>
              </w:rPr>
              <w:t>财务会计类（</w:t>
            </w:r>
            <w:r>
              <w:rPr>
                <w:rFonts w:ascii="Times New Roman" w:eastAsia="Times New Roman"/>
                <w:sz w:val="18"/>
              </w:rPr>
              <w:t>7303</w:t>
            </w:r>
            <w:r>
              <w:rPr>
                <w:sz w:val="18"/>
              </w:rPr>
              <w:t>）</w:t>
            </w:r>
          </w:p>
        </w:tc>
      </w:tr>
      <w:tr w14:paraId="7A90C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3761" w:type="dxa"/>
            <w:tcBorders>
              <w:top w:val="single" w:color="000000" w:sz="4" w:space="0"/>
              <w:left w:val="nil"/>
              <w:bottom w:val="single" w:color="000000" w:sz="4" w:space="0"/>
              <w:right w:val="single" w:color="000000" w:sz="4" w:space="0"/>
            </w:tcBorders>
          </w:tcPr>
          <w:p w14:paraId="0741FA0E">
            <w:pPr>
              <w:pStyle w:val="17"/>
              <w:spacing w:before="44"/>
              <w:ind w:left="784" w:right="772"/>
              <w:jc w:val="center"/>
              <w:rPr>
                <w:sz w:val="18"/>
              </w:rPr>
            </w:pPr>
            <w:r>
              <w:rPr>
                <w:sz w:val="18"/>
              </w:rPr>
              <w:t>对应行业（代码）</w:t>
            </w:r>
          </w:p>
        </w:tc>
        <w:tc>
          <w:tcPr>
            <w:tcW w:w="4950" w:type="dxa"/>
            <w:tcBorders>
              <w:top w:val="single" w:color="000000" w:sz="4" w:space="0"/>
              <w:left w:val="single" w:color="000000" w:sz="4" w:space="0"/>
              <w:bottom w:val="single" w:color="000000" w:sz="4" w:space="0"/>
              <w:right w:val="nil"/>
            </w:tcBorders>
          </w:tcPr>
          <w:p w14:paraId="73006EAD">
            <w:pPr>
              <w:pStyle w:val="17"/>
              <w:spacing w:before="44"/>
              <w:ind w:left="109" w:right="113"/>
              <w:jc w:val="center"/>
              <w:rPr>
                <w:sz w:val="18"/>
              </w:rPr>
            </w:pPr>
            <w:r>
              <w:rPr>
                <w:sz w:val="18"/>
              </w:rPr>
              <w:t>会计、审计及税务服务（</w:t>
            </w:r>
            <w:r>
              <w:rPr>
                <w:rFonts w:ascii="Times New Roman" w:eastAsia="Times New Roman"/>
                <w:sz w:val="18"/>
              </w:rPr>
              <w:t>7241</w:t>
            </w:r>
            <w:r>
              <w:rPr>
                <w:sz w:val="18"/>
              </w:rPr>
              <w:t>）</w:t>
            </w:r>
          </w:p>
        </w:tc>
      </w:tr>
      <w:tr w14:paraId="47691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3761" w:type="dxa"/>
            <w:tcBorders>
              <w:top w:val="single" w:color="000000" w:sz="4" w:space="0"/>
              <w:left w:val="nil"/>
              <w:bottom w:val="single" w:color="000000" w:sz="4" w:space="0"/>
              <w:right w:val="single" w:color="000000" w:sz="4" w:space="0"/>
            </w:tcBorders>
          </w:tcPr>
          <w:p w14:paraId="0C59C499">
            <w:pPr>
              <w:pStyle w:val="17"/>
              <w:spacing w:before="44"/>
              <w:ind w:left="784" w:right="772"/>
              <w:jc w:val="center"/>
              <w:rPr>
                <w:sz w:val="18"/>
              </w:rPr>
            </w:pPr>
            <w:r>
              <w:rPr>
                <w:sz w:val="18"/>
              </w:rPr>
              <w:t>主要职业类别（代码）</w:t>
            </w:r>
          </w:p>
        </w:tc>
        <w:tc>
          <w:tcPr>
            <w:tcW w:w="4950" w:type="dxa"/>
            <w:tcBorders>
              <w:top w:val="single" w:color="000000" w:sz="4" w:space="0"/>
              <w:left w:val="single" w:color="000000" w:sz="4" w:space="0"/>
              <w:bottom w:val="single" w:color="000000" w:sz="4" w:space="0"/>
              <w:right w:val="nil"/>
            </w:tcBorders>
          </w:tcPr>
          <w:p w14:paraId="25FC3A12">
            <w:pPr>
              <w:pStyle w:val="17"/>
              <w:spacing w:before="44"/>
              <w:ind w:left="108" w:right="113"/>
              <w:jc w:val="center"/>
              <w:rPr>
                <w:sz w:val="18"/>
              </w:rPr>
            </w:pPr>
            <w:r>
              <w:rPr>
                <w:sz w:val="18"/>
              </w:rPr>
              <w:t>会计专业人员（</w:t>
            </w:r>
            <w:r>
              <w:rPr>
                <w:rFonts w:ascii="Times New Roman" w:eastAsia="Times New Roman"/>
                <w:sz w:val="18"/>
              </w:rPr>
              <w:t>2-06-03</w:t>
            </w:r>
            <w:r>
              <w:rPr>
                <w:sz w:val="18"/>
              </w:rPr>
              <w:t>）</w:t>
            </w:r>
          </w:p>
        </w:tc>
      </w:tr>
      <w:tr w14:paraId="79E46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3761" w:type="dxa"/>
            <w:tcBorders>
              <w:top w:val="single" w:color="000000" w:sz="4" w:space="0"/>
              <w:left w:val="nil"/>
              <w:bottom w:val="single" w:color="000000" w:sz="4" w:space="0"/>
              <w:right w:val="single" w:color="000000" w:sz="4" w:space="0"/>
            </w:tcBorders>
          </w:tcPr>
          <w:p w14:paraId="49D5B252">
            <w:pPr>
              <w:pStyle w:val="17"/>
              <w:rPr>
                <w:sz w:val="16"/>
              </w:rPr>
            </w:pPr>
          </w:p>
          <w:p w14:paraId="7B7C26B1">
            <w:pPr>
              <w:pStyle w:val="17"/>
              <w:ind w:left="784" w:right="772"/>
              <w:jc w:val="center"/>
              <w:rPr>
                <w:sz w:val="18"/>
              </w:rPr>
            </w:pPr>
            <w:r>
              <w:rPr>
                <w:sz w:val="18"/>
              </w:rPr>
              <w:t>主要岗位（群）或技术领域</w:t>
            </w:r>
          </w:p>
        </w:tc>
        <w:tc>
          <w:tcPr>
            <w:tcW w:w="4950" w:type="dxa"/>
            <w:tcBorders>
              <w:top w:val="single" w:color="000000" w:sz="4" w:space="0"/>
              <w:left w:val="single" w:color="000000" w:sz="4" w:space="0"/>
              <w:bottom w:val="single" w:color="000000" w:sz="4" w:space="0"/>
              <w:right w:val="nil"/>
            </w:tcBorders>
          </w:tcPr>
          <w:p w14:paraId="19845B13">
            <w:pPr>
              <w:pStyle w:val="17"/>
              <w:spacing w:before="44"/>
              <w:ind w:left="112" w:right="113"/>
              <w:jc w:val="center"/>
              <w:rPr>
                <w:sz w:val="18"/>
              </w:rPr>
            </w:pPr>
            <w:r>
              <w:rPr>
                <w:sz w:val="18"/>
              </w:rPr>
              <w:t>企事业单位出纳、会计、财税代理服务、会计信息系统运营</w:t>
            </w:r>
          </w:p>
          <w:p w14:paraId="30985015">
            <w:pPr>
              <w:pStyle w:val="17"/>
              <w:spacing w:before="90"/>
              <w:ind w:left="112" w:right="113"/>
              <w:jc w:val="center"/>
              <w:rPr>
                <w:sz w:val="18"/>
              </w:rPr>
            </w:pPr>
            <w:r>
              <w:rPr>
                <w:sz w:val="18"/>
              </w:rPr>
              <w:t>服务……</w:t>
            </w:r>
          </w:p>
        </w:tc>
      </w:tr>
      <w:tr w14:paraId="02EF3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9" w:hRule="atLeast"/>
        </w:trPr>
        <w:tc>
          <w:tcPr>
            <w:tcW w:w="3761" w:type="dxa"/>
            <w:tcBorders>
              <w:top w:val="single" w:color="000000" w:sz="4" w:space="0"/>
              <w:left w:val="nil"/>
              <w:right w:val="single" w:color="000000" w:sz="4" w:space="0"/>
            </w:tcBorders>
          </w:tcPr>
          <w:p w14:paraId="303588F5">
            <w:pPr>
              <w:pStyle w:val="17"/>
              <w:spacing w:before="44"/>
              <w:ind w:left="784" w:right="772"/>
              <w:jc w:val="center"/>
              <w:rPr>
                <w:sz w:val="18"/>
              </w:rPr>
            </w:pPr>
            <w:r>
              <w:rPr>
                <w:sz w:val="18"/>
              </w:rPr>
              <w:t>职业类证书</w:t>
            </w:r>
          </w:p>
        </w:tc>
        <w:tc>
          <w:tcPr>
            <w:tcW w:w="4950" w:type="dxa"/>
            <w:tcBorders>
              <w:top w:val="single" w:color="000000" w:sz="4" w:space="0"/>
              <w:left w:val="single" w:color="000000" w:sz="4" w:space="0"/>
              <w:right w:val="nil"/>
            </w:tcBorders>
          </w:tcPr>
          <w:p w14:paraId="5BE565A6">
            <w:pPr>
              <w:pStyle w:val="17"/>
              <w:spacing w:before="44"/>
              <w:ind w:left="112" w:right="113"/>
              <w:jc w:val="center"/>
              <w:rPr>
                <w:sz w:val="18"/>
              </w:rPr>
            </w:pPr>
            <w:r>
              <w:rPr>
                <w:sz w:val="18"/>
              </w:rPr>
              <w:t>智能财税、财务共享服务、业财一体信息化应用……</w:t>
            </w:r>
          </w:p>
        </w:tc>
      </w:tr>
    </w:tbl>
    <w:p w14:paraId="651AC7D9">
      <w:pPr>
        <w:ind w:firstLine="600" w:firstLineChars="200"/>
        <w:jc w:val="left"/>
        <w:rPr>
          <w:rFonts w:ascii="仿宋" w:hAnsi="仿宋" w:eastAsia="仿宋"/>
          <w:sz w:val="28"/>
          <w:szCs w:val="28"/>
        </w:rPr>
      </w:pPr>
      <w:r>
        <w:rPr>
          <w:rFonts w:hint="eastAsia" w:ascii="黑体" w:hAnsi="黑体" w:eastAsia="黑体"/>
          <w:sz w:val="30"/>
          <w:szCs w:val="30"/>
          <w:lang w:eastAsia="zh-CN"/>
        </w:rPr>
        <w:t>六、 培养目标与培养规格</w:t>
      </w:r>
    </w:p>
    <w:p w14:paraId="52FABCF0">
      <w:pPr>
        <w:ind w:firstLine="565" w:firstLineChars="202"/>
        <w:jc w:val="lef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一） 培养目标</w:t>
      </w:r>
    </w:p>
    <w:p w14:paraId="41020799">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本专业培养能够践行社会主义核心价值观，传承技能文明，德智体美劳全面发展，具有良好的人文素养、科学素养、数字素养、职业道德，爱岗敬业的职业精神和精益求精的工匠 精神，扎实的文化基础知识、较强的就业创业能力和学习能力，掌握本专业知识和技术技能， 具备职业综合素质和行动能力，面向会计、审计及税务服务行业的会计专业人员职业，能够 从事企事业单位出纳、会计、财税代理服务、会计信息系统实施等工作的技能人才。</w:t>
      </w:r>
    </w:p>
    <w:p w14:paraId="78A54D0F">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cstheme="minorBidi"/>
          <w:kern w:val="2"/>
          <w:sz w:val="30"/>
          <w:szCs w:val="30"/>
          <w:lang w:val="en-US" w:eastAsia="zh-CN" w:bidi="ar-SA"/>
        </w:rPr>
        <w:t>（二）</w:t>
      </w:r>
      <w:r>
        <w:rPr>
          <w:rFonts w:hint="eastAsia" w:ascii="仿宋_GB2312" w:eastAsia="仿宋_GB2312" w:hAnsiTheme="minorHAnsi" w:cstheme="minorBidi"/>
          <w:kern w:val="2"/>
          <w:sz w:val="30"/>
          <w:szCs w:val="30"/>
          <w:lang w:val="en-US" w:eastAsia="zh-CN" w:bidi="ar-SA"/>
        </w:rPr>
        <w:t>培养规格</w:t>
      </w:r>
    </w:p>
    <w:p w14:paraId="7E3628FC">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本专业学生应全面提升知识、能力、素质，筑牢科学文化知识和专业类通用技术技能基 础，掌握并实际运用岗位（群）需要的专业技术技能，实现德智体美劳全面发展，总体上须 达到以下要求：</w:t>
      </w:r>
    </w:p>
    <w:p w14:paraId="5751D686">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（1）坚定拥护中国共产党领导和中国特色社会主义制度，以习近平新时代中国特色社会 主义思想为指导，践行社会主义核心价值观，具有坚定的理想信念、深厚的爱国情感和中华 民族自豪感；</w:t>
      </w:r>
    </w:p>
    <w:p w14:paraId="466E8D91">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（2）掌握与本专业对应职业活动相关的国家法律、行业规定，掌握绿色生产、环境保护、安全防护、数据安全、质量管理等相关知识与技能，了解相关行业文化，具有爱岗敬业的职 业精神，遵守职业道德准则和行为规范，具备社会责任感和担当精神；</w:t>
      </w:r>
    </w:p>
    <w:p w14:paraId="336E15FF">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（3）掌握支撑本专业学习和可持续发展必备的语文、历史、数学、外语（英语等）、信息技术等文化基础知识，具有良好的人文素养与科学素养，具备职业生涯规划能力；</w:t>
      </w:r>
    </w:p>
    <w:p w14:paraId="2B4447A2">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（4）具有良好的语言表达能力、文字表达能力、沟通合作能力，具有较强的集体意识和 团队合作意识，学习 1 门外语并结合本专业加以运用；</w:t>
      </w:r>
    </w:p>
    <w:p w14:paraId="76596618">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（5）掌握票据法规知识和电子票据处理基本技能，具备企业主要经济业务票据识别、票 据影像化处理、电子发票开具等票据处理能力；</w:t>
      </w:r>
    </w:p>
    <w:p w14:paraId="7DD5AE5F">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（6）掌握企业日常经营活动基本业务流程和会计核算方法，具备应用会计信息系统对企 业主要经济业务进行会计确认、计量、报告以及实施会计监督的能力；</w:t>
      </w:r>
    </w:p>
    <w:p w14:paraId="1704A49A">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（7）掌握会计、财税、金融、工商和知识产权保护等法律法规知识，具备税费计算与申 报、财税咨询与服务、工商登记与变更、资质证照办理等代理服务能力；</w:t>
      </w:r>
    </w:p>
    <w:p w14:paraId="40F7FD47">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（8）掌握会计信息系统实施步骤与工作规范，具备会计信息系统环境搭建、业务流程与 基础数据调查整理、日常运营服务能力；</w:t>
      </w:r>
    </w:p>
    <w:p w14:paraId="40C3CFFD">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（9）掌握信息技术基础知识，具有适应本行业数字化和智能化发展需求的基本数字技能；</w:t>
      </w:r>
    </w:p>
    <w:p w14:paraId="37F73EDC">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（10）具有终身学习和可持续发展的能力，具有一定的分析问题和解决问题的能力；</w:t>
      </w:r>
    </w:p>
    <w:p w14:paraId="21E3515B">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（11）掌握身体运动的基本知识和至少 1 项体育运动技能，养成良好的运动习惯、卫生习惯和行为习惯；具备一定的心理调适能力；</w:t>
      </w:r>
    </w:p>
    <w:p w14:paraId="04E630AC">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（12）掌握必备的美育知识，具有一定的文化修养、审美能力，形成至少 1 项艺术特长或爱好；</w:t>
      </w:r>
    </w:p>
    <w:p w14:paraId="611458EC">
      <w:pPr>
        <w:ind w:firstLine="606" w:firstLineChars="202"/>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（13）树立正确的劳动观，尊重劳动，热爱劳动，具备与本专业职业发展相适应的劳动素 养，弘扬劳模精神、劳动精神、工匠精神，弘扬劳动光荣、技能宝贵、创造伟大的时代风尚；</w:t>
      </w:r>
    </w:p>
    <w:p w14:paraId="18DE9E0D">
      <w:pPr>
        <w:ind w:firstLine="606" w:firstLineChars="202"/>
        <w:jc w:val="left"/>
        <w:rPr>
          <w:rFonts w:hint="eastAsia" w:ascii="仿宋_GB2312" w:eastAsia="仿宋_GB2312"/>
          <w:sz w:val="30"/>
          <w:szCs w:val="30"/>
        </w:rPr>
      </w:pPr>
      <w:r>
        <w:rPr>
          <w:rFonts w:hint="eastAsia" w:ascii="仿宋_GB2312" w:eastAsia="仿宋_GB2312" w:hAnsiTheme="minorHAnsi" w:cstheme="minorBidi"/>
          <w:kern w:val="2"/>
          <w:sz w:val="30"/>
          <w:szCs w:val="30"/>
          <w:lang w:val="en-US" w:eastAsia="zh-CN" w:bidi="ar-SA"/>
        </w:rPr>
        <w:t>（14）具有“坚持诚信，守法奉公；坚持准则，守责敬业；坚持学习，守正创新”的职业道德规范和提高技能、强化服务的职业意识。</w:t>
      </w:r>
      <w:r>
        <w:rPr>
          <w:rFonts w:hint="default" w:ascii="浠垮畫" w:hAnsi="浠垮畫" w:eastAsia="浠垮畫" w:cs="浠垮畫"/>
          <w:b/>
          <w:bCs/>
          <w:color w:val="000000"/>
          <w:kern w:val="0"/>
          <w:sz w:val="21"/>
          <w:szCs w:val="21"/>
          <w:lang w:val="en-US" w:eastAsia="zh-CN" w:bidi="ar"/>
        </w:rPr>
        <w:t xml:space="preserve"> </w:t>
      </w:r>
    </w:p>
    <w:p w14:paraId="0B720D14">
      <w:pPr>
        <w:overflowPunct w:val="0"/>
        <w:ind w:firstLine="600" w:firstLineChars="200"/>
        <w:rPr>
          <w:rFonts w:eastAsia="黑体"/>
          <w:sz w:val="30"/>
          <w:szCs w:val="30"/>
        </w:rPr>
      </w:pPr>
      <w:r>
        <w:rPr>
          <w:rFonts w:hint="eastAsia" w:ascii="黑体" w:hAnsi="黑体" w:eastAsia="黑体"/>
          <w:sz w:val="30"/>
          <w:szCs w:val="30"/>
          <w:lang w:eastAsia="zh-CN"/>
        </w:rPr>
        <w:t>七</w:t>
      </w:r>
      <w:r>
        <w:rPr>
          <w:rFonts w:hint="eastAsia" w:ascii="黑体" w:hAnsi="黑体" w:eastAsia="黑体"/>
          <w:sz w:val="30"/>
          <w:szCs w:val="30"/>
        </w:rPr>
        <w:t>、课程设置及要求</w:t>
      </w:r>
    </w:p>
    <w:p w14:paraId="1D01D8B3">
      <w:pPr>
        <w:overflowPunct w:val="0"/>
        <w:ind w:firstLine="600" w:firstLineChars="200"/>
        <w:rPr>
          <w:rFonts w:ascii="仿宋_GB2312" w:eastAsia="仿宋_GB2312"/>
          <w:sz w:val="30"/>
          <w:szCs w:val="30"/>
        </w:rPr>
      </w:pPr>
      <w:r>
        <w:rPr>
          <w:rFonts w:hint="eastAsia" w:ascii="仿宋_GB2312" w:eastAsia="仿宋_GB2312"/>
          <w:sz w:val="30"/>
          <w:szCs w:val="30"/>
        </w:rPr>
        <w:t>主要包括公共基础课程和专业（技能）课程。</w:t>
      </w:r>
    </w:p>
    <w:p w14:paraId="65B46A54">
      <w:pPr>
        <w:numPr>
          <w:ilvl w:val="0"/>
          <w:numId w:val="1"/>
        </w:numPr>
        <w:overflowPunct w:val="0"/>
        <w:ind w:firstLine="600" w:firstLineChars="200"/>
        <w:rPr>
          <w:rFonts w:hint="eastAsia" w:ascii="楷体_GB2312" w:eastAsia="楷体_GB2312"/>
          <w:sz w:val="30"/>
          <w:szCs w:val="30"/>
        </w:rPr>
      </w:pPr>
      <w:r>
        <w:rPr>
          <w:rFonts w:hint="eastAsia" w:ascii="楷体_GB2312" w:eastAsia="楷体_GB2312"/>
          <w:sz w:val="30"/>
          <w:szCs w:val="30"/>
        </w:rPr>
        <w:t>公共基础课程</w:t>
      </w:r>
    </w:p>
    <w:p w14:paraId="33044A08">
      <w:pPr>
        <w:overflowPunct w:val="0"/>
        <w:ind w:firstLine="600" w:firstLineChars="200"/>
        <w:rPr>
          <w:rFonts w:hint="eastAsia" w:ascii="仿宋_GB2312" w:eastAsia="仿宋_GB2312"/>
          <w:sz w:val="30"/>
          <w:szCs w:val="30"/>
        </w:rPr>
      </w:pPr>
      <w:r>
        <w:rPr>
          <w:rFonts w:hint="eastAsia" w:ascii="仿宋_GB2312" w:eastAsia="仿宋_GB2312"/>
          <w:sz w:val="30"/>
          <w:szCs w:val="30"/>
        </w:rPr>
        <w:t>按照国家有关规定开齐开足公共基础课程。</w:t>
      </w:r>
    </w:p>
    <w:p w14:paraId="344E5CC0">
      <w:pPr>
        <w:overflowPunct w:val="0"/>
        <w:ind w:firstLine="600" w:firstLineChars="200"/>
        <w:rPr>
          <w:rFonts w:hint="eastAsia" w:ascii="仿宋_GB2312" w:eastAsia="仿宋_GB2312"/>
          <w:sz w:val="30"/>
          <w:szCs w:val="30"/>
        </w:rPr>
      </w:pPr>
      <w:r>
        <w:rPr>
          <w:rFonts w:hint="eastAsia" w:ascii="仿宋_GB2312" w:eastAsia="仿宋_GB2312"/>
          <w:sz w:val="30"/>
          <w:szCs w:val="30"/>
        </w:rPr>
        <w:t>应将思想政治、语文、历史、数学、外语（英语等）、信息技术、体育与健康、艺术、劳动教育等列为公共基础必修课程。将党史国史、中华优秀传统文化、国家安全教育、职业发展与就业指导、创新创业教育、经济地理等列为必修课程或限定选修课程。</w:t>
      </w:r>
    </w:p>
    <w:p w14:paraId="63764791">
      <w:pPr>
        <w:numPr>
          <w:ilvl w:val="0"/>
          <w:numId w:val="0"/>
        </w:numPr>
        <w:overflowPunct w:val="0"/>
        <w:ind w:firstLine="600" w:firstLineChars="200"/>
        <w:rPr>
          <w:rFonts w:hint="eastAsia" w:ascii="仿宋_GB2312" w:eastAsia="仿宋_GB2312"/>
          <w:sz w:val="30"/>
          <w:szCs w:val="30"/>
        </w:rPr>
      </w:pPr>
      <w:r>
        <w:rPr>
          <w:rFonts w:hint="eastAsia" w:ascii="仿宋_GB2312" w:eastAsia="仿宋_GB2312"/>
          <w:sz w:val="30"/>
          <w:szCs w:val="30"/>
        </w:rPr>
        <w:t>学校根据实际情况可开设具有地方特色的校本课程。</w:t>
      </w:r>
    </w:p>
    <w:p w14:paraId="20AF09CC">
      <w:pPr>
        <w:numPr>
          <w:ilvl w:val="0"/>
          <w:numId w:val="0"/>
        </w:numPr>
        <w:overflowPunct w:val="0"/>
        <w:ind w:firstLine="900" w:firstLineChars="300"/>
        <w:jc w:val="center"/>
        <w:rPr>
          <w:rFonts w:hint="eastAsia" w:ascii="仿宋_GB2312" w:eastAsia="仿宋_GB2312"/>
          <w:sz w:val="30"/>
          <w:szCs w:val="30"/>
        </w:rPr>
      </w:pPr>
      <w:r>
        <w:rPr>
          <w:rFonts w:hint="eastAsia" w:ascii="仿宋_GB2312" w:eastAsia="仿宋_GB2312"/>
          <w:sz w:val="30"/>
          <w:szCs w:val="30"/>
        </w:rPr>
        <w:t>公共基础课程</w:t>
      </w:r>
    </w:p>
    <w:tbl>
      <w:tblPr>
        <w:tblStyle w:val="6"/>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590"/>
        <w:gridCol w:w="5490"/>
        <w:gridCol w:w="885"/>
      </w:tblGrid>
      <w:tr w14:paraId="17EC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05" w:type="dxa"/>
          </w:tcPr>
          <w:p w14:paraId="7E22A458">
            <w:pPr>
              <w:widowControl/>
              <w:spacing w:after="150" w:line="405" w:lineRule="atLeast"/>
              <w:jc w:val="center"/>
              <w:rPr>
                <w:rFonts w:ascii="微软雅黑" w:hAnsi="微软雅黑" w:eastAsia="微软雅黑" w:cs="宋体"/>
                <w:color w:val="333333"/>
                <w:kern w:val="0"/>
                <w:sz w:val="24"/>
                <w:szCs w:val="24"/>
              </w:rPr>
            </w:pPr>
            <w:r>
              <w:rPr>
                <w:rFonts w:hint="eastAsia" w:ascii="仿宋" w:hAnsi="仿宋" w:eastAsia="仿宋" w:cs="宋体"/>
                <w:b/>
                <w:bCs/>
                <w:color w:val="333333"/>
                <w:kern w:val="0"/>
                <w:sz w:val="30"/>
                <w:szCs w:val="30"/>
              </w:rPr>
              <w:t>序号</w:t>
            </w:r>
          </w:p>
        </w:tc>
        <w:tc>
          <w:tcPr>
            <w:tcW w:w="1590" w:type="dxa"/>
          </w:tcPr>
          <w:p w14:paraId="54AEE397">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b/>
                <w:bCs/>
                <w:color w:val="333333"/>
                <w:kern w:val="0"/>
                <w:sz w:val="30"/>
                <w:szCs w:val="30"/>
              </w:rPr>
              <w:t>课程名称</w:t>
            </w:r>
          </w:p>
        </w:tc>
        <w:tc>
          <w:tcPr>
            <w:tcW w:w="5490" w:type="dxa"/>
          </w:tcPr>
          <w:p w14:paraId="1C36C0F7">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b/>
                <w:bCs/>
                <w:color w:val="333333"/>
                <w:kern w:val="0"/>
                <w:sz w:val="30"/>
                <w:szCs w:val="30"/>
              </w:rPr>
              <w:t>主要教学内容和要求</w:t>
            </w:r>
          </w:p>
        </w:tc>
        <w:tc>
          <w:tcPr>
            <w:tcW w:w="885" w:type="dxa"/>
          </w:tcPr>
          <w:p w14:paraId="30C5B23A">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b/>
                <w:bCs/>
                <w:color w:val="333333"/>
                <w:kern w:val="0"/>
                <w:sz w:val="24"/>
                <w:szCs w:val="24"/>
              </w:rPr>
              <w:t>课时</w:t>
            </w:r>
          </w:p>
        </w:tc>
      </w:tr>
      <w:tr w14:paraId="7471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37F10ABA">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1</w:t>
            </w:r>
          </w:p>
        </w:tc>
        <w:tc>
          <w:tcPr>
            <w:tcW w:w="1590" w:type="dxa"/>
          </w:tcPr>
          <w:p w14:paraId="77F7CC10">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思想政治课</w:t>
            </w:r>
          </w:p>
          <w:p w14:paraId="2E734755">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（中国特色社会主义）</w:t>
            </w:r>
          </w:p>
        </w:tc>
        <w:tc>
          <w:tcPr>
            <w:tcW w:w="5490" w:type="dxa"/>
          </w:tcPr>
          <w:p w14:paraId="3EB9C134">
            <w:pPr>
              <w:widowControl/>
              <w:spacing w:after="150" w:line="405" w:lineRule="atLeast"/>
              <w:ind w:firstLine="390"/>
              <w:jc w:val="left"/>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依据《中等职业学校思想政治课程标准（2020年版）》开设。本课程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885" w:type="dxa"/>
          </w:tcPr>
          <w:p w14:paraId="0924109F">
            <w:pPr>
              <w:widowControl/>
              <w:spacing w:after="150" w:line="37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36</w:t>
            </w:r>
          </w:p>
        </w:tc>
      </w:tr>
      <w:tr w14:paraId="6B29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0134D708">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2</w:t>
            </w:r>
          </w:p>
        </w:tc>
        <w:tc>
          <w:tcPr>
            <w:tcW w:w="1590" w:type="dxa"/>
          </w:tcPr>
          <w:p w14:paraId="04B27603">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思想政治课</w:t>
            </w:r>
          </w:p>
          <w:p w14:paraId="33177D9E">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（心理健康与职业生涯）</w:t>
            </w:r>
          </w:p>
        </w:tc>
        <w:tc>
          <w:tcPr>
            <w:tcW w:w="5490" w:type="dxa"/>
          </w:tcPr>
          <w:p w14:paraId="04846FC8">
            <w:pPr>
              <w:widowControl/>
              <w:spacing w:after="150" w:line="405" w:lineRule="atLeast"/>
              <w:ind w:firstLine="390"/>
              <w:jc w:val="left"/>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依据《中等职业学校思想政治课程标准（2020年版）》开设。本课程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885" w:type="dxa"/>
          </w:tcPr>
          <w:p w14:paraId="1F6CAC71">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36</w:t>
            </w:r>
          </w:p>
        </w:tc>
      </w:tr>
      <w:tr w14:paraId="09FC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2B4DDD74">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3</w:t>
            </w:r>
          </w:p>
        </w:tc>
        <w:tc>
          <w:tcPr>
            <w:tcW w:w="1590" w:type="dxa"/>
          </w:tcPr>
          <w:p w14:paraId="03F4716C">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思想政治课</w:t>
            </w:r>
          </w:p>
          <w:p w14:paraId="779DB42C">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（哲学与人生）</w:t>
            </w:r>
          </w:p>
        </w:tc>
        <w:tc>
          <w:tcPr>
            <w:tcW w:w="5490" w:type="dxa"/>
          </w:tcPr>
          <w:p w14:paraId="76845AB5">
            <w:pPr>
              <w:widowControl/>
              <w:spacing w:after="150" w:line="405" w:lineRule="atLeast"/>
              <w:ind w:firstLine="390"/>
              <w:jc w:val="left"/>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依据《中等职业学校思想政治课程标准（2020年版）》开设。本课程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885" w:type="dxa"/>
          </w:tcPr>
          <w:p w14:paraId="2E6EE278">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36</w:t>
            </w:r>
          </w:p>
        </w:tc>
      </w:tr>
      <w:tr w14:paraId="516C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06783FFA">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4</w:t>
            </w:r>
          </w:p>
        </w:tc>
        <w:tc>
          <w:tcPr>
            <w:tcW w:w="1590" w:type="dxa"/>
          </w:tcPr>
          <w:p w14:paraId="5F62BBA3">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思想政治课</w:t>
            </w:r>
          </w:p>
          <w:p w14:paraId="521EA597">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（职业道德与法治）</w:t>
            </w:r>
          </w:p>
        </w:tc>
        <w:tc>
          <w:tcPr>
            <w:tcW w:w="5490" w:type="dxa"/>
          </w:tcPr>
          <w:p w14:paraId="0C638069">
            <w:pPr>
              <w:widowControl/>
              <w:spacing w:after="150" w:line="405" w:lineRule="atLeast"/>
              <w:ind w:firstLine="390"/>
              <w:jc w:val="left"/>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依据《中等职业学校思想政治课程标准（2020年版）》开设。本课程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885" w:type="dxa"/>
          </w:tcPr>
          <w:p w14:paraId="4438700C">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36</w:t>
            </w:r>
          </w:p>
        </w:tc>
      </w:tr>
      <w:tr w14:paraId="00F6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681167F3">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5</w:t>
            </w:r>
          </w:p>
        </w:tc>
        <w:tc>
          <w:tcPr>
            <w:tcW w:w="1590" w:type="dxa"/>
          </w:tcPr>
          <w:p w14:paraId="1EC8C2D2">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语文</w:t>
            </w:r>
          </w:p>
        </w:tc>
        <w:tc>
          <w:tcPr>
            <w:tcW w:w="5490" w:type="dxa"/>
          </w:tcPr>
          <w:p w14:paraId="362019E9">
            <w:pPr>
              <w:widowControl/>
              <w:spacing w:after="150" w:line="405" w:lineRule="atLeast"/>
              <w:ind w:firstLine="390"/>
              <w:jc w:val="left"/>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依据《中等职业学校语文课程标准》开设，在九年义务教育的基础上，提高学生运用祖国语言文字的能力，理解与热爱祖国语言文字，发展思维能力，提升思维品质，培养健康的审美情趣，积累丰厚的文化底蕴，培育和践行社会主义核心价值观，增强文化自信，以适应就业和升学的需要。指导学生学习必需的语文基础知识，培养学生掌握基础知识和基本技能，强化关键能力，使学生具有较强的语言文字运用能力、思维能力和审美能力，传承和弘扬中华优秀文化，接受人类进步文化，汲取人类文明优秀成果，形成良好的思想道德品质、科学素养和人文养。为学生学好专业知识与技能，提高升学、就业创业能力和终身发展能力，成为全面发展的高素质劳动者和技术技能人才奠定基础。 学生通过阅读与欣赏、表达与交流及语文综合实践等活动，在语言理解与运用、思维发展与提升、审美发现与鉴赏、文化传承与参与几个方面都获得持续发展，树立正确的人生理想，涵养职业精神，为适应个人终身发展和社会发展需要提供支撑。</w:t>
            </w:r>
          </w:p>
        </w:tc>
        <w:tc>
          <w:tcPr>
            <w:tcW w:w="885" w:type="dxa"/>
          </w:tcPr>
          <w:p w14:paraId="763FBF38">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216</w:t>
            </w:r>
          </w:p>
        </w:tc>
      </w:tr>
      <w:tr w14:paraId="04EE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3890158D">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6</w:t>
            </w:r>
          </w:p>
        </w:tc>
        <w:tc>
          <w:tcPr>
            <w:tcW w:w="1590" w:type="dxa"/>
          </w:tcPr>
          <w:p w14:paraId="288BDFEF">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数学</w:t>
            </w:r>
          </w:p>
        </w:tc>
        <w:tc>
          <w:tcPr>
            <w:tcW w:w="5490" w:type="dxa"/>
          </w:tcPr>
          <w:p w14:paraId="15C140B6">
            <w:pPr>
              <w:widowControl/>
              <w:spacing w:after="150" w:line="405" w:lineRule="atLeast"/>
              <w:ind w:firstLine="390"/>
              <w:jc w:val="left"/>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依据《中等职业学校数学课程标准》开设，教学内容包括“基础知识”、“函数”、“几何与代数”、“概率与统计”四大部分。中等职业学校数学课程教学实施要全面落实立德树人根本任务，培育和践行社会主义核心价值观，培养德智体美劳全面发展的社会主义建设者和接班人。教学要遵循数学教育规律，围绕课程目标，发展和提升数学学科核心素养，按照课程内容确定教学计划，创设教学情境，完成课程任务；教学要体现职教特色，遵循技术技能人才的成长规律；教学中要合理融入思想政治教育，引导学生增强职业道德修养，提高职业素养。</w:t>
            </w:r>
          </w:p>
        </w:tc>
        <w:tc>
          <w:tcPr>
            <w:tcW w:w="885" w:type="dxa"/>
          </w:tcPr>
          <w:p w14:paraId="48DB792C">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180</w:t>
            </w:r>
          </w:p>
        </w:tc>
      </w:tr>
      <w:tr w14:paraId="70C4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1857DE82">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7</w:t>
            </w:r>
          </w:p>
        </w:tc>
        <w:tc>
          <w:tcPr>
            <w:tcW w:w="1590" w:type="dxa"/>
          </w:tcPr>
          <w:p w14:paraId="3D46B29D">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英语</w:t>
            </w:r>
          </w:p>
        </w:tc>
        <w:tc>
          <w:tcPr>
            <w:tcW w:w="5490" w:type="dxa"/>
          </w:tcPr>
          <w:p w14:paraId="3BFB8DFE">
            <w:pPr>
              <w:widowControl/>
              <w:spacing w:after="150" w:line="405" w:lineRule="atLeast"/>
              <w:ind w:firstLine="390"/>
              <w:jc w:val="left"/>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依据《中等职业学校英语最新课程标准》，在九年义务教育基础上，帮助学生进一步学习英语基础知识，掌握语言基本知识和发展基本技能；引导学生在真实情景中开展语言活动，认识文化的多样性，形成开放包容的态度，理解思维差异，坚定文化自信，帮助学生形成积极的人生态度，树立正确的世界观、人生观和价值观；在职业模块的学习中，帮助学生发展语言技能、培养思维能力、运用学习策略，去提高学生的职场语言沟通能力，增强其职业意识，促进其未来的职业发展，成为全面发展的高素质劳动者和技术技能人才；培养学生学习习惯以及自主学习能力，为学生的职业生涯、继续学习和终身发展奠定基础。</w:t>
            </w:r>
          </w:p>
        </w:tc>
        <w:tc>
          <w:tcPr>
            <w:tcW w:w="885" w:type="dxa"/>
          </w:tcPr>
          <w:p w14:paraId="40DC9112">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180</w:t>
            </w:r>
          </w:p>
        </w:tc>
      </w:tr>
      <w:tr w14:paraId="70BB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23FF7D7C">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8</w:t>
            </w:r>
          </w:p>
        </w:tc>
        <w:tc>
          <w:tcPr>
            <w:tcW w:w="1590" w:type="dxa"/>
          </w:tcPr>
          <w:p w14:paraId="3E94C76A">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信息技术</w:t>
            </w:r>
          </w:p>
        </w:tc>
        <w:tc>
          <w:tcPr>
            <w:tcW w:w="5490" w:type="dxa"/>
          </w:tcPr>
          <w:p w14:paraId="116D2B09">
            <w:pPr>
              <w:widowControl/>
              <w:spacing w:after="150" w:line="405" w:lineRule="atLeast"/>
              <w:ind w:firstLine="390"/>
              <w:jc w:val="left"/>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依据《中等职业学校信息技术课程标准（2020年版）》开设。本课程全面落实立德树人根本任务，立足岗位要求，培养学生信息能力和核心素养。主要包括信息技术应用相关基础知识，网络相关知识，不同类型的图文编辑工具的操作，会对文、图、表进行混合排版及美化处理，数据处理等常用办公自动化软件操作，程序设计基础知识及应用程序解决生活中的实际问题，数字媒体的创作及制作演示文稿，信息安全相关知识，人工智能初步知识。培养学生增强信息意识、发展计算思维、提高数字化学习与创新能力、树立正确的信息社会价值观和责任感，具有时代要求的信息素养与适应职业发展需要的信息能力。</w:t>
            </w:r>
          </w:p>
        </w:tc>
        <w:tc>
          <w:tcPr>
            <w:tcW w:w="885" w:type="dxa"/>
          </w:tcPr>
          <w:p w14:paraId="40C30ADB">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144</w:t>
            </w:r>
          </w:p>
        </w:tc>
      </w:tr>
      <w:tr w14:paraId="536B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2EF1D224">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9</w:t>
            </w:r>
          </w:p>
        </w:tc>
        <w:tc>
          <w:tcPr>
            <w:tcW w:w="1590" w:type="dxa"/>
          </w:tcPr>
          <w:p w14:paraId="7AAC57D0">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体育与健康</w:t>
            </w:r>
          </w:p>
        </w:tc>
        <w:tc>
          <w:tcPr>
            <w:tcW w:w="5490" w:type="dxa"/>
          </w:tcPr>
          <w:p w14:paraId="136B8014">
            <w:pPr>
              <w:widowControl/>
              <w:spacing w:after="150" w:line="405" w:lineRule="atLeast"/>
              <w:ind w:firstLine="390"/>
              <w:jc w:val="left"/>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依据《中等职业学校体育与健康课程标准》开设，通过学习本课程，学生能够喜爱并积极参与体育运动，享受体育过程的乐趣;学会锻炼身体的科学方法。在篮球、排球、足球、羽毛球、太极拳等项目中，结合自身兴趣个人身体状况，掌握 1~2 项体育运动技能，提升体育运动能力，提高职业体能水平;学习青春期男女生理健康知识，了解自身生长发育特点，树立健康观念，掌握健康知识和与职业相关的健康安全知识，形成健康文明的生活方式;遵守体育道德规范和行为准则，发扬体育精塑造良好的体育品格，增强责任意识、规则意识和团队意识。帮助学生在体育炼中享受乐趣、增强体质、健全人格、锤炼意志，使学生在运动能力、健康行为和体育精神三方面获得全面发展。最终落实立德树人的根本任务。</w:t>
            </w:r>
          </w:p>
        </w:tc>
        <w:tc>
          <w:tcPr>
            <w:tcW w:w="885" w:type="dxa"/>
          </w:tcPr>
          <w:p w14:paraId="0434E08B">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180</w:t>
            </w:r>
          </w:p>
        </w:tc>
      </w:tr>
      <w:tr w14:paraId="0044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02651557">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10</w:t>
            </w:r>
          </w:p>
        </w:tc>
        <w:tc>
          <w:tcPr>
            <w:tcW w:w="1590" w:type="dxa"/>
          </w:tcPr>
          <w:p w14:paraId="53F9CEEA">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公共艺术</w:t>
            </w:r>
          </w:p>
        </w:tc>
        <w:tc>
          <w:tcPr>
            <w:tcW w:w="5490" w:type="dxa"/>
          </w:tcPr>
          <w:p w14:paraId="1F974DB2">
            <w:pPr>
              <w:widowControl/>
              <w:spacing w:after="150" w:line="405" w:lineRule="atLeast"/>
              <w:ind w:firstLine="390"/>
              <w:jc w:val="left"/>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依据《中等职业学校艺术课程标准》（2020年版）开设，中等职业学校艺术课程要坚持立德树人，充分发挥艺术学科独特的育人功能，以美育人，以文化人，以情动人，提高学生的审美和人文素养，积极引导学生主动参与艺术学习和实践，进一步积累和掌握艺术基础知识、基本技能和方法，培养学生感受美、鉴赏美、表现美、创造美的能力，帮助学生塑造美好心灵，健全健康人格，厚植民族情感，增进文化认同，坚定文化自信，成为德智体美劳全面发展的高素质劳动者和技术技能人才。</w:t>
            </w:r>
          </w:p>
        </w:tc>
        <w:tc>
          <w:tcPr>
            <w:tcW w:w="885" w:type="dxa"/>
          </w:tcPr>
          <w:p w14:paraId="049E4215">
            <w:pPr>
              <w:widowControl/>
              <w:spacing w:after="150" w:line="405" w:lineRule="atLeast"/>
              <w:jc w:val="center"/>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72</w:t>
            </w:r>
          </w:p>
        </w:tc>
      </w:tr>
      <w:tr w14:paraId="34DF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11C542DE">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kern w:val="0"/>
                <w:sz w:val="24"/>
                <w:szCs w:val="24"/>
              </w:rPr>
              <w:t>11</w:t>
            </w:r>
          </w:p>
        </w:tc>
        <w:tc>
          <w:tcPr>
            <w:tcW w:w="1590" w:type="dxa"/>
          </w:tcPr>
          <w:p w14:paraId="61004AA9">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 w:hAnsi="仿宋" w:eastAsia="仿宋" w:cs="宋体"/>
                <w:color w:val="333333"/>
                <w:spacing w:val="-15"/>
                <w:kern w:val="0"/>
                <w:sz w:val="24"/>
                <w:szCs w:val="24"/>
              </w:rPr>
              <w:t>历史</w:t>
            </w:r>
          </w:p>
        </w:tc>
        <w:tc>
          <w:tcPr>
            <w:tcW w:w="5490" w:type="dxa"/>
          </w:tcPr>
          <w:p w14:paraId="362D6AEC">
            <w:pPr>
              <w:widowControl/>
              <w:spacing w:after="150" w:line="405" w:lineRule="atLeast"/>
              <w:ind w:firstLine="390"/>
              <w:jc w:val="left"/>
              <w:rPr>
                <w:rFonts w:hint="eastAsia" w:ascii="微软雅黑" w:hAnsi="微软雅黑" w:eastAsia="微软雅黑" w:cs="宋体"/>
                <w:color w:val="333333"/>
                <w:kern w:val="0"/>
                <w:sz w:val="24"/>
                <w:szCs w:val="24"/>
              </w:rPr>
            </w:pPr>
            <w:bookmarkStart w:id="0" w:name="OLE_LINK2"/>
            <w:r>
              <w:rPr>
                <w:rFonts w:hint="eastAsia" w:ascii="仿宋_GB2312" w:hAnsi="微软雅黑" w:eastAsia="仿宋_GB2312" w:cs="宋体"/>
                <w:color w:val="333333"/>
                <w:spacing w:val="-15"/>
                <w:kern w:val="0"/>
                <w:sz w:val="24"/>
                <w:szCs w:val="24"/>
              </w:rPr>
              <w:t>依据《</w:t>
            </w:r>
            <w:bookmarkStart w:id="1" w:name="OLE_LINK1"/>
            <w:r>
              <w:rPr>
                <w:rFonts w:hint="eastAsia" w:ascii="仿宋_GB2312" w:hAnsi="微软雅黑" w:eastAsia="仿宋_GB2312" w:cs="宋体"/>
                <w:color w:val="333333"/>
                <w:spacing w:val="-15"/>
                <w:kern w:val="0"/>
                <w:sz w:val="24"/>
                <w:szCs w:val="24"/>
              </w:rPr>
              <w:t>中等职业学校历史课程标准</w:t>
            </w:r>
            <w:bookmarkEnd w:id="1"/>
            <w:r>
              <w:rPr>
                <w:rFonts w:hint="eastAsia" w:ascii="仿宋_GB2312" w:hAnsi="微软雅黑" w:eastAsia="仿宋_GB2312" w:cs="宋体"/>
                <w:color w:val="333333"/>
                <w:spacing w:val="-15"/>
                <w:kern w:val="0"/>
                <w:sz w:val="24"/>
                <w:szCs w:val="24"/>
              </w:rPr>
              <w:t>》（2020年版）开设，</w:t>
            </w:r>
            <w:bookmarkEnd w:id="0"/>
            <w:r>
              <w:rPr>
                <w:rFonts w:hint="eastAsia" w:ascii="仿宋_GB2312" w:hAnsi="微软雅黑" w:eastAsia="仿宋_GB2312" w:cs="宋体"/>
                <w:color w:val="333333"/>
                <w:spacing w:val="-15"/>
                <w:kern w:val="0"/>
                <w:sz w:val="24"/>
                <w:szCs w:val="24"/>
              </w:rPr>
              <w:t>教学内容包括“中国历史”和“世界历史”两部分。历史教学以社会主义核心价值观为统领，使学生通过对历史课程的的学习，掌握必备的历史知识，形成历史学科的核心素养（包括唯物史观、时空观念、史料证实、历史解释、家国情怀五个方面），落实立德树人的根本任务，培养德智体美劳全面发展的社会主义建设者和接班人。</w:t>
            </w:r>
          </w:p>
        </w:tc>
        <w:tc>
          <w:tcPr>
            <w:tcW w:w="885" w:type="dxa"/>
          </w:tcPr>
          <w:p w14:paraId="7FC3910E">
            <w:pPr>
              <w:widowControl/>
              <w:spacing w:after="150" w:line="405" w:lineRule="atLeast"/>
              <w:jc w:val="center"/>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spacing w:val="-15"/>
                <w:kern w:val="0"/>
                <w:sz w:val="24"/>
                <w:szCs w:val="24"/>
              </w:rPr>
              <w:t>72</w:t>
            </w:r>
          </w:p>
        </w:tc>
      </w:tr>
      <w:tr w14:paraId="392B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05" w:type="dxa"/>
          </w:tcPr>
          <w:p w14:paraId="0687C819">
            <w:pPr>
              <w:widowControl/>
              <w:spacing w:after="150" w:line="405" w:lineRule="atLeast"/>
              <w:jc w:val="center"/>
              <w:rPr>
                <w:rFonts w:hint="eastAsia" w:ascii="仿宋" w:hAnsi="仿宋" w:eastAsia="仿宋" w:cs="宋体"/>
                <w:color w:val="333333"/>
                <w:kern w:val="0"/>
                <w:sz w:val="24"/>
                <w:szCs w:val="24"/>
              </w:rPr>
            </w:pPr>
            <w:r>
              <w:rPr>
                <w:rFonts w:hint="eastAsia" w:ascii="仿宋" w:hAnsi="仿宋" w:eastAsia="仿宋" w:cs="宋体"/>
                <w:color w:val="333333"/>
                <w:kern w:val="0"/>
                <w:sz w:val="24"/>
                <w:szCs w:val="24"/>
              </w:rPr>
              <w:t>12</w:t>
            </w:r>
          </w:p>
        </w:tc>
        <w:tc>
          <w:tcPr>
            <w:tcW w:w="1590" w:type="dxa"/>
          </w:tcPr>
          <w:p w14:paraId="21FC726C">
            <w:pPr>
              <w:widowControl/>
              <w:spacing w:after="150" w:line="405" w:lineRule="atLeast"/>
              <w:jc w:val="center"/>
              <w:rPr>
                <w:rFonts w:hint="eastAsia" w:ascii="仿宋" w:hAnsi="仿宋" w:eastAsia="仿宋" w:cs="宋体"/>
                <w:color w:val="333333"/>
                <w:spacing w:val="-15"/>
                <w:kern w:val="0"/>
                <w:sz w:val="24"/>
                <w:szCs w:val="24"/>
              </w:rPr>
            </w:pPr>
            <w:r>
              <w:rPr>
                <w:rFonts w:hint="eastAsia" w:ascii="仿宋" w:hAnsi="仿宋" w:eastAsia="仿宋" w:cs="宋体"/>
                <w:color w:val="333333"/>
                <w:spacing w:val="-15"/>
                <w:kern w:val="0"/>
                <w:sz w:val="24"/>
                <w:szCs w:val="24"/>
              </w:rPr>
              <w:t>劳动</w:t>
            </w:r>
          </w:p>
        </w:tc>
        <w:tc>
          <w:tcPr>
            <w:tcW w:w="5490" w:type="dxa"/>
          </w:tcPr>
          <w:p w14:paraId="5420C9F6">
            <w:pPr>
              <w:widowControl/>
              <w:spacing w:after="150" w:line="405" w:lineRule="atLeast"/>
              <w:ind w:firstLine="390"/>
              <w:jc w:val="left"/>
              <w:rPr>
                <w:rFonts w:hint="eastAsia" w:ascii="仿宋_GB2312" w:hAnsi="微软雅黑" w:eastAsia="仿宋_GB2312" w:cs="宋体"/>
                <w:color w:val="333333"/>
                <w:spacing w:val="-15"/>
                <w:kern w:val="0"/>
                <w:sz w:val="24"/>
                <w:szCs w:val="24"/>
              </w:rPr>
            </w:pPr>
            <w:r>
              <w:rPr>
                <w:rFonts w:hint="eastAsia" w:ascii="仿宋_GB2312" w:hAnsi="微软雅黑" w:eastAsia="仿宋_GB2312" w:cs="宋体"/>
                <w:color w:val="333333"/>
                <w:spacing w:val="-15"/>
                <w:kern w:val="0"/>
                <w:sz w:val="24"/>
                <w:szCs w:val="24"/>
              </w:rPr>
              <w:t>依据《中等职业学校劳动教育课程标准》开设，</w:t>
            </w:r>
            <w:r>
              <w:rPr>
                <w:rFonts w:ascii="仿宋_GB2312" w:hAnsi="微软雅黑" w:eastAsia="仿宋_GB2312" w:cs="宋体"/>
                <w:color w:val="333333"/>
                <w:spacing w:val="-15"/>
                <w:kern w:val="0"/>
                <w:sz w:val="24"/>
                <w:szCs w:val="24"/>
              </w:rPr>
              <w:t>通过劳动教育必修课，使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会主义建设者和接班人。</w:t>
            </w:r>
          </w:p>
        </w:tc>
        <w:tc>
          <w:tcPr>
            <w:tcW w:w="885" w:type="dxa"/>
          </w:tcPr>
          <w:p w14:paraId="3CCF7994">
            <w:pPr>
              <w:widowControl/>
              <w:spacing w:after="150" w:line="405" w:lineRule="atLeast"/>
              <w:jc w:val="center"/>
              <w:rPr>
                <w:rFonts w:hint="eastAsia" w:ascii="仿宋_GB2312" w:hAnsi="微软雅黑" w:eastAsia="仿宋_GB2312" w:cs="宋体"/>
                <w:color w:val="333333"/>
                <w:spacing w:val="-15"/>
                <w:kern w:val="0"/>
                <w:sz w:val="24"/>
                <w:szCs w:val="24"/>
              </w:rPr>
            </w:pPr>
            <w:r>
              <w:rPr>
                <w:rFonts w:hint="eastAsia" w:ascii="仿宋_GB2312" w:hAnsi="微软雅黑" w:eastAsia="仿宋_GB2312" w:cs="宋体"/>
                <w:color w:val="333333"/>
                <w:spacing w:val="-15"/>
                <w:kern w:val="0"/>
                <w:sz w:val="24"/>
                <w:szCs w:val="24"/>
              </w:rPr>
              <w:t>90</w:t>
            </w:r>
          </w:p>
        </w:tc>
      </w:tr>
    </w:tbl>
    <w:p w14:paraId="55E6FB9F">
      <w:pPr>
        <w:overflowPunct w:val="0"/>
        <w:ind w:firstLine="600" w:firstLineChars="200"/>
        <w:rPr>
          <w:rFonts w:eastAsia="楷体_GB2312"/>
          <w:sz w:val="30"/>
          <w:szCs w:val="30"/>
        </w:rPr>
      </w:pPr>
      <w:r>
        <w:rPr>
          <w:rFonts w:hint="eastAsia" w:ascii="楷体_GB2312" w:eastAsia="楷体_GB2312"/>
          <w:sz w:val="30"/>
          <w:szCs w:val="30"/>
        </w:rPr>
        <w:t>（二）专业（技能）课程</w:t>
      </w:r>
    </w:p>
    <w:p w14:paraId="423EC0AD">
      <w:pPr>
        <w:overflowPunct w:val="0"/>
        <w:ind w:firstLine="600" w:firstLineChars="200"/>
        <w:rPr>
          <w:rFonts w:hint="eastAsia" w:ascii="仿宋_GB2312" w:eastAsia="仿宋_GB2312"/>
          <w:sz w:val="30"/>
          <w:szCs w:val="30"/>
        </w:rPr>
      </w:pPr>
      <w:r>
        <w:rPr>
          <w:rFonts w:hint="eastAsia" w:ascii="仿宋_GB2312" w:eastAsia="仿宋_GB2312"/>
          <w:sz w:val="30"/>
          <w:szCs w:val="30"/>
        </w:rPr>
        <w:t>一般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553B4631">
      <w:pPr>
        <w:overflowPunct w:val="0"/>
        <w:ind w:firstLine="600" w:firstLineChars="200"/>
        <w:rPr>
          <w:rFonts w:hint="eastAsia" w:ascii="仿宋_GB2312" w:eastAsia="仿宋_GB2312"/>
          <w:sz w:val="30"/>
          <w:szCs w:val="30"/>
        </w:rPr>
      </w:pPr>
      <w:r>
        <w:rPr>
          <w:rFonts w:hint="eastAsia" w:ascii="仿宋_GB2312" w:eastAsia="仿宋_GB2312"/>
          <w:sz w:val="30"/>
          <w:szCs w:val="30"/>
        </w:rPr>
        <w:t>学校可结合区域/行业实际、办学定位和人才培养需要自主确定课程，进行模块化课程设 计，依托体现新方法、新技术、新工艺、新标准的真实生产项目和典型工作任务等，开展项 目式、情境式教学，结合人工智能等技术实施课程教学的数字化转型。有条件的专业，可结合教学实际，探索创新课程体系。</w:t>
      </w:r>
    </w:p>
    <w:p w14:paraId="61FD9FEC">
      <w:pPr>
        <w:overflowPunct w:val="0"/>
        <w:ind w:firstLine="600" w:firstLineChars="200"/>
        <w:rPr>
          <w:rFonts w:hint="eastAsia" w:ascii="仿宋_GB2312" w:eastAsia="仿宋_GB2312"/>
          <w:sz w:val="30"/>
          <w:szCs w:val="30"/>
        </w:rPr>
      </w:pPr>
      <w:r>
        <w:rPr>
          <w:rFonts w:hint="eastAsia" w:ascii="仿宋_GB2312" w:eastAsia="仿宋_GB2312"/>
          <w:sz w:val="30"/>
          <w:szCs w:val="30"/>
        </w:rPr>
        <w:t>（1）专业基础课程</w:t>
      </w:r>
    </w:p>
    <w:p w14:paraId="5C7C4DFB">
      <w:pPr>
        <w:overflowPunct w:val="0"/>
        <w:ind w:firstLine="600" w:firstLineChars="200"/>
        <w:rPr>
          <w:rFonts w:hint="eastAsia" w:ascii="仿宋_GB2312" w:eastAsia="仿宋_GB2312"/>
          <w:sz w:val="30"/>
          <w:szCs w:val="30"/>
        </w:rPr>
      </w:pPr>
      <w:r>
        <w:rPr>
          <w:rFonts w:hint="eastAsia" w:ascii="仿宋_GB2312" w:eastAsia="仿宋_GB2312"/>
          <w:sz w:val="30"/>
          <w:szCs w:val="30"/>
        </w:rPr>
        <w:t>一般设置</w:t>
      </w:r>
      <w:r>
        <w:rPr>
          <w:rFonts w:hint="eastAsia" w:ascii="仿宋_GB2312" w:eastAsia="仿宋_GB2312"/>
          <w:sz w:val="30"/>
          <w:szCs w:val="30"/>
          <w:lang w:val="en-US" w:eastAsia="zh-CN"/>
        </w:rPr>
        <w:t>2</w:t>
      </w:r>
      <w:r>
        <w:rPr>
          <w:rFonts w:hint="eastAsia" w:ascii="仿宋_GB2312" w:eastAsia="仿宋_GB2312"/>
          <w:sz w:val="30"/>
          <w:szCs w:val="30"/>
        </w:rPr>
        <w:t xml:space="preserve"> 门。包括：会计基础、</w:t>
      </w:r>
      <w:r>
        <w:rPr>
          <w:rFonts w:hint="eastAsia" w:ascii="仿宋_GB2312" w:eastAsia="仿宋_GB2312"/>
          <w:sz w:val="30"/>
          <w:szCs w:val="30"/>
          <w:lang w:val="en-US" w:eastAsia="zh-CN"/>
        </w:rPr>
        <w:t>财政与金融基础知识。</w:t>
      </w:r>
    </w:p>
    <w:p w14:paraId="088C3991">
      <w:pPr>
        <w:spacing w:before="97" w:line="217" w:lineRule="auto"/>
        <w:ind w:left="3263"/>
        <w:rPr>
          <w:rFonts w:ascii="仿宋" w:hAnsi="仿宋" w:eastAsia="仿宋" w:cs="仿宋"/>
          <w:sz w:val="30"/>
          <w:szCs w:val="30"/>
        </w:rPr>
      </w:pPr>
      <w:r>
        <w:rPr>
          <w:rFonts w:ascii="仿宋" w:hAnsi="仿宋" w:eastAsia="仿宋" w:cs="仿宋"/>
          <w:b/>
          <w:bCs/>
          <w:spacing w:val="-5"/>
          <w:sz w:val="30"/>
          <w:szCs w:val="30"/>
        </w:rPr>
        <w:t>专业基础课基本要求</w:t>
      </w:r>
    </w:p>
    <w:p w14:paraId="1E408DB1">
      <w:pPr>
        <w:spacing w:line="108" w:lineRule="exact"/>
      </w:pPr>
    </w:p>
    <w:tbl>
      <w:tblPr>
        <w:tblStyle w:val="16"/>
        <w:tblW w:w="9066"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118"/>
        <w:gridCol w:w="6660"/>
        <w:gridCol w:w="748"/>
      </w:tblGrid>
      <w:tr w14:paraId="386F9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40" w:type="dxa"/>
            <w:textDirection w:val="tbRlV"/>
            <w:vAlign w:val="top"/>
          </w:tcPr>
          <w:p w14:paraId="3BD2F6AF">
            <w:pPr>
              <w:pStyle w:val="15"/>
              <w:spacing w:before="215" w:line="203" w:lineRule="auto"/>
              <w:ind w:left="370"/>
              <w:rPr>
                <w:sz w:val="21"/>
                <w:szCs w:val="21"/>
              </w:rPr>
            </w:pPr>
            <w:r>
              <w:rPr>
                <w:spacing w:val="1"/>
                <w:sz w:val="21"/>
                <w:szCs w:val="21"/>
              </w:rPr>
              <w:t>序</w:t>
            </w:r>
            <w:r>
              <w:rPr>
                <w:spacing w:val="-5"/>
                <w:sz w:val="21"/>
                <w:szCs w:val="21"/>
              </w:rPr>
              <w:t xml:space="preserve"> </w:t>
            </w:r>
            <w:r>
              <w:rPr>
                <w:spacing w:val="1"/>
                <w:sz w:val="21"/>
                <w:szCs w:val="21"/>
              </w:rPr>
              <w:t>号</w:t>
            </w:r>
          </w:p>
        </w:tc>
        <w:tc>
          <w:tcPr>
            <w:tcW w:w="1118" w:type="dxa"/>
            <w:vAlign w:val="top"/>
          </w:tcPr>
          <w:p w14:paraId="3EC00964">
            <w:pPr>
              <w:pStyle w:val="15"/>
              <w:spacing w:before="214" w:line="218" w:lineRule="auto"/>
              <w:ind w:left="355"/>
              <w:rPr>
                <w:sz w:val="21"/>
                <w:szCs w:val="21"/>
              </w:rPr>
            </w:pPr>
            <w:r>
              <w:rPr>
                <w:spacing w:val="-4"/>
                <w:sz w:val="21"/>
                <w:szCs w:val="21"/>
              </w:rPr>
              <w:t>课程</w:t>
            </w:r>
          </w:p>
          <w:p w14:paraId="1EBCB27C">
            <w:pPr>
              <w:pStyle w:val="15"/>
              <w:spacing w:before="63" w:line="218" w:lineRule="auto"/>
              <w:ind w:left="355"/>
              <w:rPr>
                <w:sz w:val="21"/>
                <w:szCs w:val="21"/>
              </w:rPr>
            </w:pPr>
            <w:r>
              <w:rPr>
                <w:spacing w:val="-4"/>
                <w:sz w:val="21"/>
                <w:szCs w:val="21"/>
              </w:rPr>
              <w:t>名称</w:t>
            </w:r>
          </w:p>
        </w:tc>
        <w:tc>
          <w:tcPr>
            <w:tcW w:w="6660" w:type="dxa"/>
            <w:vAlign w:val="top"/>
          </w:tcPr>
          <w:p w14:paraId="444CBE55">
            <w:pPr>
              <w:spacing w:line="300" w:lineRule="auto"/>
              <w:rPr>
                <w:rFonts w:ascii="Arial"/>
                <w:sz w:val="21"/>
              </w:rPr>
            </w:pPr>
          </w:p>
          <w:p w14:paraId="05EE05A3">
            <w:pPr>
              <w:pStyle w:val="15"/>
              <w:spacing w:before="68" w:line="218" w:lineRule="auto"/>
              <w:ind w:left="538"/>
              <w:rPr>
                <w:sz w:val="21"/>
                <w:szCs w:val="21"/>
              </w:rPr>
            </w:pPr>
            <w:r>
              <w:rPr>
                <w:spacing w:val="-1"/>
                <w:sz w:val="21"/>
                <w:szCs w:val="21"/>
              </w:rPr>
              <w:t>课程主要教学内容与要求</w:t>
            </w:r>
          </w:p>
        </w:tc>
        <w:tc>
          <w:tcPr>
            <w:tcW w:w="748" w:type="dxa"/>
            <w:vAlign w:val="top"/>
          </w:tcPr>
          <w:p w14:paraId="502F9E4A">
            <w:pPr>
              <w:pStyle w:val="15"/>
              <w:spacing w:before="214" w:line="219" w:lineRule="auto"/>
              <w:ind w:left="124"/>
              <w:rPr>
                <w:sz w:val="21"/>
                <w:szCs w:val="21"/>
              </w:rPr>
            </w:pPr>
            <w:r>
              <w:rPr>
                <w:spacing w:val="-9"/>
                <w:sz w:val="21"/>
                <w:szCs w:val="21"/>
              </w:rPr>
              <w:t>参</w:t>
            </w:r>
            <w:r>
              <w:rPr>
                <w:spacing w:val="18"/>
                <w:sz w:val="21"/>
                <w:szCs w:val="21"/>
              </w:rPr>
              <w:t xml:space="preserve"> </w:t>
            </w:r>
            <w:r>
              <w:rPr>
                <w:spacing w:val="-9"/>
                <w:sz w:val="21"/>
                <w:szCs w:val="21"/>
              </w:rPr>
              <w:t>考</w:t>
            </w:r>
          </w:p>
          <w:p w14:paraId="54088A71">
            <w:pPr>
              <w:pStyle w:val="15"/>
              <w:spacing w:before="62" w:line="220" w:lineRule="auto"/>
              <w:ind w:left="130"/>
              <w:rPr>
                <w:sz w:val="21"/>
                <w:szCs w:val="21"/>
              </w:rPr>
            </w:pPr>
            <w:r>
              <w:rPr>
                <w:spacing w:val="-6"/>
                <w:sz w:val="21"/>
                <w:szCs w:val="21"/>
              </w:rPr>
              <w:t>学时</w:t>
            </w:r>
          </w:p>
        </w:tc>
      </w:tr>
      <w:tr w14:paraId="51A7A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540" w:type="dxa"/>
            <w:vAlign w:val="top"/>
          </w:tcPr>
          <w:p w14:paraId="5CFD7EB2">
            <w:pPr>
              <w:rPr>
                <w:rFonts w:ascii="Arial"/>
                <w:sz w:val="21"/>
              </w:rPr>
            </w:pPr>
          </w:p>
        </w:tc>
        <w:tc>
          <w:tcPr>
            <w:tcW w:w="1118" w:type="dxa"/>
            <w:vAlign w:val="top"/>
          </w:tcPr>
          <w:p w14:paraId="1D11CCBE">
            <w:pPr>
              <w:spacing w:line="303" w:lineRule="auto"/>
              <w:rPr>
                <w:rFonts w:ascii="Arial"/>
                <w:sz w:val="21"/>
              </w:rPr>
            </w:pPr>
          </w:p>
          <w:p w14:paraId="42FFDE1A">
            <w:pPr>
              <w:spacing w:line="304" w:lineRule="auto"/>
              <w:rPr>
                <w:rFonts w:ascii="Arial"/>
                <w:sz w:val="21"/>
              </w:rPr>
            </w:pPr>
          </w:p>
          <w:p w14:paraId="16D8352E">
            <w:pPr>
              <w:pStyle w:val="15"/>
              <w:spacing w:before="68" w:line="219" w:lineRule="auto"/>
              <w:ind w:left="145"/>
              <w:rPr>
                <w:sz w:val="21"/>
                <w:szCs w:val="21"/>
              </w:rPr>
            </w:pPr>
            <w:r>
              <w:rPr>
                <w:spacing w:val="-3"/>
                <w:sz w:val="21"/>
                <w:szCs w:val="21"/>
              </w:rPr>
              <w:t>基础会计</w:t>
            </w:r>
          </w:p>
        </w:tc>
        <w:tc>
          <w:tcPr>
            <w:tcW w:w="6660" w:type="dxa"/>
            <w:vAlign w:val="top"/>
          </w:tcPr>
          <w:p w14:paraId="66DBEF12">
            <w:pPr>
              <w:pStyle w:val="15"/>
              <w:spacing w:before="57" w:line="263" w:lineRule="auto"/>
              <w:ind w:left="116" w:right="101" w:firstLine="447"/>
              <w:jc w:val="both"/>
              <w:rPr>
                <w:sz w:val="21"/>
                <w:szCs w:val="21"/>
              </w:rPr>
            </w:pPr>
            <w:r>
              <w:rPr>
                <w:spacing w:val="-4"/>
                <w:sz w:val="21"/>
                <w:szCs w:val="21"/>
              </w:rPr>
              <w:t>了解会计工作职责与要求，熟悉会计核算工作程序；领会会计核算</w:t>
            </w:r>
            <w:r>
              <w:rPr>
                <w:spacing w:val="14"/>
                <w:sz w:val="21"/>
                <w:szCs w:val="21"/>
              </w:rPr>
              <w:t xml:space="preserve"> </w:t>
            </w:r>
            <w:r>
              <w:rPr>
                <w:spacing w:val="-3"/>
                <w:sz w:val="21"/>
                <w:szCs w:val="21"/>
              </w:rPr>
              <w:t>对象、会计核算方法体系和会计基础工作规范要求；会填制与审核原始</w:t>
            </w:r>
            <w:r>
              <w:rPr>
                <w:spacing w:val="18"/>
                <w:sz w:val="21"/>
                <w:szCs w:val="21"/>
              </w:rPr>
              <w:t xml:space="preserve"> </w:t>
            </w:r>
            <w:r>
              <w:rPr>
                <w:spacing w:val="-3"/>
                <w:sz w:val="21"/>
                <w:szCs w:val="21"/>
              </w:rPr>
              <w:t>凭证；会运用借贷记账法填制企业主要经济业务记账凭证；会登记主要</w:t>
            </w:r>
            <w:r>
              <w:rPr>
                <w:spacing w:val="18"/>
                <w:sz w:val="21"/>
                <w:szCs w:val="21"/>
              </w:rPr>
              <w:t xml:space="preserve"> </w:t>
            </w:r>
            <w:r>
              <w:rPr>
                <w:spacing w:val="-3"/>
                <w:sz w:val="21"/>
                <w:szCs w:val="21"/>
              </w:rPr>
              <w:t>会计账簿；会编制简单资产负债表和利润表，为后续专业课学习奠定基</w:t>
            </w:r>
            <w:r>
              <w:rPr>
                <w:spacing w:val="18"/>
                <w:sz w:val="21"/>
                <w:szCs w:val="21"/>
              </w:rPr>
              <w:t xml:space="preserve"> </w:t>
            </w:r>
            <w:r>
              <w:rPr>
                <w:sz w:val="21"/>
                <w:szCs w:val="21"/>
              </w:rPr>
              <w:t>础</w:t>
            </w:r>
          </w:p>
        </w:tc>
        <w:tc>
          <w:tcPr>
            <w:tcW w:w="748" w:type="dxa"/>
            <w:vAlign w:val="top"/>
          </w:tcPr>
          <w:p w14:paraId="01D5F06A">
            <w:pPr>
              <w:spacing w:line="303" w:lineRule="auto"/>
              <w:rPr>
                <w:rFonts w:ascii="Arial"/>
                <w:sz w:val="21"/>
              </w:rPr>
            </w:pPr>
          </w:p>
          <w:p w14:paraId="0A570EAC">
            <w:pPr>
              <w:spacing w:line="303" w:lineRule="auto"/>
              <w:rPr>
                <w:rFonts w:ascii="Arial"/>
                <w:sz w:val="21"/>
              </w:rPr>
            </w:pPr>
          </w:p>
          <w:p w14:paraId="20AC3391">
            <w:pPr>
              <w:pStyle w:val="15"/>
              <w:spacing w:before="69" w:line="238" w:lineRule="auto"/>
              <w:ind w:left="117"/>
              <w:rPr>
                <w:sz w:val="21"/>
                <w:szCs w:val="21"/>
              </w:rPr>
            </w:pPr>
            <w:r>
              <w:rPr>
                <w:spacing w:val="-2"/>
                <w:sz w:val="21"/>
                <w:szCs w:val="21"/>
              </w:rPr>
              <w:t>200</w:t>
            </w:r>
          </w:p>
        </w:tc>
      </w:tr>
      <w:tr w14:paraId="594D3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540" w:type="dxa"/>
            <w:vAlign w:val="top"/>
          </w:tcPr>
          <w:p w14:paraId="136D823E">
            <w:pPr>
              <w:rPr>
                <w:rFonts w:ascii="Arial"/>
                <w:sz w:val="21"/>
              </w:rPr>
            </w:pPr>
          </w:p>
        </w:tc>
        <w:tc>
          <w:tcPr>
            <w:tcW w:w="1118" w:type="dxa"/>
            <w:vAlign w:val="top"/>
          </w:tcPr>
          <w:p w14:paraId="0CF1BBE0">
            <w:pPr>
              <w:spacing w:line="347" w:lineRule="auto"/>
              <w:rPr>
                <w:rFonts w:ascii="Arial"/>
                <w:sz w:val="21"/>
              </w:rPr>
            </w:pPr>
          </w:p>
          <w:p w14:paraId="597A6A11">
            <w:pPr>
              <w:pStyle w:val="15"/>
              <w:spacing w:before="68" w:line="276" w:lineRule="auto"/>
              <w:ind w:left="254" w:right="138" w:hanging="106"/>
              <w:rPr>
                <w:sz w:val="21"/>
                <w:szCs w:val="21"/>
              </w:rPr>
            </w:pPr>
            <w:r>
              <w:rPr>
                <w:color w:val="444444"/>
                <w:spacing w:val="-4"/>
                <w:sz w:val="21"/>
                <w:szCs w:val="21"/>
              </w:rPr>
              <w:t>财政与金</w:t>
            </w:r>
            <w:r>
              <w:rPr>
                <w:color w:val="444444"/>
                <w:spacing w:val="1"/>
                <w:sz w:val="21"/>
                <w:szCs w:val="21"/>
              </w:rPr>
              <w:t xml:space="preserve"> </w:t>
            </w:r>
            <w:r>
              <w:rPr>
                <w:color w:val="444444"/>
                <w:spacing w:val="-4"/>
                <w:sz w:val="21"/>
                <w:szCs w:val="21"/>
              </w:rPr>
              <w:t>融基础</w:t>
            </w:r>
          </w:p>
        </w:tc>
        <w:tc>
          <w:tcPr>
            <w:tcW w:w="6660" w:type="dxa"/>
            <w:vAlign w:val="top"/>
          </w:tcPr>
          <w:p w14:paraId="74F7CC6B">
            <w:pPr>
              <w:pStyle w:val="15"/>
              <w:spacing w:before="103" w:line="272" w:lineRule="auto"/>
              <w:ind w:left="120" w:right="101" w:firstLine="417"/>
              <w:rPr>
                <w:sz w:val="21"/>
                <w:szCs w:val="21"/>
              </w:rPr>
            </w:pPr>
            <w:r>
              <w:rPr>
                <w:color w:val="444444"/>
                <w:spacing w:val="-1"/>
                <w:sz w:val="21"/>
                <w:szCs w:val="21"/>
              </w:rPr>
              <w:t>使学生具备中初级会计人员从事会计核算和会计事务管理工作所</w:t>
            </w:r>
            <w:r>
              <w:rPr>
                <w:color w:val="444444"/>
                <w:spacing w:val="8"/>
                <w:sz w:val="21"/>
                <w:szCs w:val="21"/>
              </w:rPr>
              <w:t xml:space="preserve">  </w:t>
            </w:r>
            <w:r>
              <w:rPr>
                <w:color w:val="444444"/>
                <w:spacing w:val="-3"/>
                <w:sz w:val="21"/>
                <w:szCs w:val="21"/>
              </w:rPr>
              <w:t>必需的财政、金融的基本知识和基本经济政策及分析与运用能力，为学</w:t>
            </w:r>
            <w:r>
              <w:rPr>
                <w:color w:val="444444"/>
                <w:spacing w:val="14"/>
                <w:sz w:val="21"/>
                <w:szCs w:val="21"/>
              </w:rPr>
              <w:t xml:space="preserve"> </w:t>
            </w:r>
            <w:r>
              <w:rPr>
                <w:color w:val="444444"/>
                <w:spacing w:val="-3"/>
                <w:sz w:val="21"/>
                <w:szCs w:val="21"/>
              </w:rPr>
              <w:t>生学习专业知识和职业技能，提高综合素质，增强职业道德观念打下一</w:t>
            </w:r>
            <w:r>
              <w:rPr>
                <w:color w:val="444444"/>
                <w:spacing w:val="14"/>
                <w:sz w:val="21"/>
                <w:szCs w:val="21"/>
              </w:rPr>
              <w:t xml:space="preserve"> </w:t>
            </w:r>
            <w:r>
              <w:rPr>
                <w:color w:val="444444"/>
                <w:spacing w:val="-4"/>
                <w:sz w:val="21"/>
                <w:szCs w:val="21"/>
              </w:rPr>
              <w:t>定的理论基础。</w:t>
            </w:r>
          </w:p>
        </w:tc>
        <w:tc>
          <w:tcPr>
            <w:tcW w:w="748" w:type="dxa"/>
            <w:vAlign w:val="top"/>
          </w:tcPr>
          <w:p w14:paraId="6746BCFA">
            <w:pPr>
              <w:spacing w:line="250" w:lineRule="auto"/>
              <w:rPr>
                <w:rFonts w:ascii="Arial"/>
                <w:sz w:val="21"/>
              </w:rPr>
            </w:pPr>
          </w:p>
          <w:p w14:paraId="4243694D">
            <w:pPr>
              <w:spacing w:line="251" w:lineRule="auto"/>
              <w:rPr>
                <w:rFonts w:ascii="Arial"/>
                <w:sz w:val="21"/>
              </w:rPr>
            </w:pPr>
          </w:p>
          <w:p w14:paraId="4062A55F">
            <w:pPr>
              <w:pStyle w:val="15"/>
              <w:spacing w:before="68" w:line="238" w:lineRule="auto"/>
              <w:ind w:left="117"/>
              <w:rPr>
                <w:sz w:val="21"/>
                <w:szCs w:val="21"/>
              </w:rPr>
            </w:pPr>
            <w:r>
              <w:rPr>
                <w:spacing w:val="-2"/>
                <w:sz w:val="21"/>
                <w:szCs w:val="21"/>
              </w:rPr>
              <w:t>200</w:t>
            </w:r>
          </w:p>
        </w:tc>
      </w:tr>
    </w:tbl>
    <w:p w14:paraId="15D5BE88">
      <w:pPr>
        <w:overflowPunct w:val="0"/>
        <w:ind w:firstLine="600" w:firstLineChars="200"/>
        <w:rPr>
          <w:rFonts w:hint="eastAsia" w:ascii="仿宋_GB2312" w:eastAsia="仿宋_GB2312"/>
          <w:sz w:val="30"/>
          <w:szCs w:val="30"/>
        </w:rPr>
      </w:pPr>
    </w:p>
    <w:p w14:paraId="0C3F39B7">
      <w:pPr>
        <w:overflowPunct w:val="0"/>
        <w:ind w:firstLine="600" w:firstLineChars="200"/>
        <w:rPr>
          <w:rFonts w:hint="eastAsia" w:ascii="仿宋_GB2312" w:eastAsia="仿宋_GB2312"/>
          <w:sz w:val="30"/>
          <w:szCs w:val="30"/>
        </w:rPr>
      </w:pPr>
      <w:r>
        <w:rPr>
          <w:rFonts w:hint="eastAsia" w:ascii="仿宋_GB2312" w:eastAsia="仿宋_GB2312"/>
          <w:sz w:val="30"/>
          <w:szCs w:val="30"/>
        </w:rPr>
        <w:t>（2）专业核心课程</w:t>
      </w:r>
    </w:p>
    <w:p w14:paraId="45B22AC8">
      <w:pPr>
        <w:overflowPunct w:val="0"/>
        <w:ind w:firstLine="600" w:firstLineChars="200"/>
        <w:rPr>
          <w:rFonts w:hint="eastAsia" w:ascii="仿宋_GB2312" w:eastAsia="仿宋_GB2312"/>
          <w:sz w:val="30"/>
          <w:szCs w:val="30"/>
        </w:rPr>
      </w:pPr>
      <w:r>
        <w:rPr>
          <w:rFonts w:hint="eastAsia" w:ascii="仿宋_GB2312" w:eastAsia="仿宋_GB2312"/>
          <w:sz w:val="30"/>
          <w:szCs w:val="30"/>
        </w:rPr>
        <w:t>一般设置 7 门。包括：出纳与资金管理、企业会计实务、</w:t>
      </w:r>
      <w:r>
        <w:rPr>
          <w:rFonts w:hint="eastAsia" w:ascii="仿宋_GB2312" w:eastAsia="仿宋_GB2312"/>
          <w:sz w:val="30"/>
          <w:szCs w:val="30"/>
          <w:lang w:eastAsia="zh-CN"/>
        </w:rPr>
        <w:t>成本会计、</w:t>
      </w:r>
      <w:r>
        <w:rPr>
          <w:rFonts w:hint="eastAsia" w:ascii="仿宋_GB2312" w:eastAsia="仿宋_GB2312"/>
          <w:sz w:val="30"/>
          <w:szCs w:val="30"/>
        </w:rPr>
        <w:t>税费核算与智能申报、财税代理服务、会计信息系统应用、等领域的课程。</w:t>
      </w:r>
    </w:p>
    <w:p w14:paraId="20992A98">
      <w:pPr>
        <w:overflowPunct w:val="0"/>
        <w:ind w:firstLine="600" w:firstLineChars="200"/>
        <w:rPr>
          <w:rFonts w:hint="eastAsia" w:ascii="仿宋_GB2312" w:eastAsia="仿宋_GB2312"/>
          <w:sz w:val="30"/>
          <w:szCs w:val="30"/>
        </w:rPr>
      </w:pPr>
      <w:r>
        <w:rPr>
          <w:rFonts w:hint="eastAsia" w:ascii="仿宋_GB2312" w:eastAsia="仿宋_GB2312"/>
          <w:sz w:val="30"/>
          <w:szCs w:val="30"/>
        </w:rPr>
        <w:t>专业核心课程主要教学内容与要求</w:t>
      </w:r>
    </w:p>
    <w:tbl>
      <w:tblPr>
        <w:tblStyle w:val="5"/>
        <w:tblW w:w="0" w:type="auto"/>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4"/>
        <w:gridCol w:w="1400"/>
        <w:gridCol w:w="2616"/>
        <w:gridCol w:w="4056"/>
      </w:tblGrid>
      <w:tr w14:paraId="372D4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624" w:type="dxa"/>
            <w:tcBorders>
              <w:bottom w:val="single" w:color="000000" w:sz="4" w:space="0"/>
              <w:right w:val="single" w:color="000000" w:sz="4" w:space="0"/>
            </w:tcBorders>
          </w:tcPr>
          <w:p w14:paraId="193D6584">
            <w:pPr>
              <w:pStyle w:val="17"/>
              <w:spacing w:before="118"/>
              <w:ind w:left="122" w:right="103"/>
              <w:jc w:val="center"/>
              <w:rPr>
                <w:b/>
                <w:sz w:val="18"/>
              </w:rPr>
            </w:pPr>
            <w:r>
              <w:rPr>
                <w:b/>
                <w:w w:val="95"/>
                <w:sz w:val="18"/>
              </w:rPr>
              <w:t>序号</w:t>
            </w:r>
          </w:p>
        </w:tc>
        <w:tc>
          <w:tcPr>
            <w:tcW w:w="1400" w:type="dxa"/>
            <w:tcBorders>
              <w:left w:val="single" w:color="000000" w:sz="4" w:space="0"/>
              <w:bottom w:val="single" w:color="000000" w:sz="4" w:space="0"/>
              <w:right w:val="single" w:color="000000" w:sz="4" w:space="0"/>
            </w:tcBorders>
          </w:tcPr>
          <w:p w14:paraId="310B4D15">
            <w:pPr>
              <w:pStyle w:val="17"/>
              <w:spacing w:before="1"/>
              <w:ind w:left="237"/>
              <w:rPr>
                <w:b/>
                <w:sz w:val="18"/>
              </w:rPr>
            </w:pPr>
            <w:r>
              <w:rPr>
                <w:b/>
                <w:sz w:val="18"/>
              </w:rPr>
              <w:t>课程涉及的</w:t>
            </w:r>
          </w:p>
          <w:p w14:paraId="6E42BAF4">
            <w:pPr>
              <w:pStyle w:val="17"/>
              <w:spacing w:before="2" w:line="214" w:lineRule="exact"/>
              <w:ind w:left="331"/>
              <w:rPr>
                <w:b/>
                <w:sz w:val="18"/>
              </w:rPr>
            </w:pPr>
            <w:r>
              <w:rPr>
                <w:b/>
                <w:sz w:val="18"/>
              </w:rPr>
              <w:t>主要领域</w:t>
            </w:r>
          </w:p>
        </w:tc>
        <w:tc>
          <w:tcPr>
            <w:tcW w:w="2616" w:type="dxa"/>
            <w:tcBorders>
              <w:left w:val="single" w:color="000000" w:sz="4" w:space="0"/>
              <w:bottom w:val="single" w:color="000000" w:sz="4" w:space="0"/>
              <w:right w:val="single" w:color="000000" w:sz="4" w:space="0"/>
            </w:tcBorders>
          </w:tcPr>
          <w:p w14:paraId="69E4FEB6">
            <w:pPr>
              <w:pStyle w:val="17"/>
              <w:spacing w:before="118"/>
              <w:ind w:left="564"/>
              <w:rPr>
                <w:b/>
                <w:sz w:val="18"/>
              </w:rPr>
            </w:pPr>
            <w:r>
              <w:rPr>
                <w:b/>
                <w:sz w:val="18"/>
              </w:rPr>
              <w:t>典型工作任务描述</w:t>
            </w:r>
          </w:p>
        </w:tc>
        <w:tc>
          <w:tcPr>
            <w:tcW w:w="4056" w:type="dxa"/>
            <w:tcBorders>
              <w:left w:val="single" w:color="000000" w:sz="4" w:space="0"/>
              <w:bottom w:val="single" w:color="000000" w:sz="4" w:space="0"/>
            </w:tcBorders>
          </w:tcPr>
          <w:p w14:paraId="2C9E789E">
            <w:pPr>
              <w:pStyle w:val="17"/>
              <w:spacing w:before="118"/>
              <w:ind w:left="1186"/>
              <w:rPr>
                <w:b/>
                <w:sz w:val="18"/>
              </w:rPr>
            </w:pPr>
            <w:r>
              <w:rPr>
                <w:b/>
                <w:sz w:val="18"/>
              </w:rPr>
              <w:t>主要教学内容与要求</w:t>
            </w:r>
          </w:p>
        </w:tc>
      </w:tr>
      <w:tr w14:paraId="696EA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0" w:hRule="atLeast"/>
        </w:trPr>
        <w:tc>
          <w:tcPr>
            <w:tcW w:w="624" w:type="dxa"/>
            <w:tcBorders>
              <w:top w:val="single" w:color="000000" w:sz="4" w:space="0"/>
              <w:bottom w:val="single" w:color="000000" w:sz="4" w:space="0"/>
              <w:right w:val="single" w:color="000000" w:sz="4" w:space="0"/>
            </w:tcBorders>
          </w:tcPr>
          <w:p w14:paraId="664C2033">
            <w:pPr>
              <w:pStyle w:val="17"/>
              <w:rPr>
                <w:rFonts w:ascii="黑体"/>
                <w:sz w:val="20"/>
              </w:rPr>
            </w:pPr>
          </w:p>
          <w:p w14:paraId="43E8218D">
            <w:pPr>
              <w:pStyle w:val="17"/>
              <w:rPr>
                <w:rFonts w:ascii="黑体"/>
                <w:sz w:val="20"/>
              </w:rPr>
            </w:pPr>
          </w:p>
          <w:p w14:paraId="1C72E985">
            <w:pPr>
              <w:pStyle w:val="17"/>
              <w:rPr>
                <w:rFonts w:ascii="黑体"/>
                <w:sz w:val="20"/>
              </w:rPr>
            </w:pPr>
          </w:p>
          <w:p w14:paraId="317122BB">
            <w:pPr>
              <w:pStyle w:val="17"/>
              <w:rPr>
                <w:rFonts w:ascii="黑体"/>
                <w:sz w:val="20"/>
              </w:rPr>
            </w:pPr>
          </w:p>
          <w:p w14:paraId="39B05F01">
            <w:pPr>
              <w:pStyle w:val="17"/>
              <w:rPr>
                <w:rFonts w:ascii="黑体"/>
                <w:sz w:val="20"/>
              </w:rPr>
            </w:pPr>
          </w:p>
          <w:p w14:paraId="7EAD65B0">
            <w:pPr>
              <w:pStyle w:val="17"/>
              <w:spacing w:before="7"/>
              <w:rPr>
                <w:rFonts w:ascii="黑体"/>
                <w:sz w:val="14"/>
              </w:rPr>
            </w:pPr>
          </w:p>
          <w:p w14:paraId="0D3F8E13">
            <w:pPr>
              <w:pStyle w:val="17"/>
              <w:spacing w:before="1"/>
              <w:ind w:left="15"/>
              <w:jc w:val="center"/>
              <w:rPr>
                <w:rFonts w:ascii="Times New Roman"/>
                <w:sz w:val="18"/>
              </w:rPr>
            </w:pPr>
            <w:r>
              <w:rPr>
                <w:rFonts w:ascii="Times New Roman"/>
                <w:sz w:val="18"/>
              </w:rPr>
              <w:t>1</w:t>
            </w:r>
          </w:p>
        </w:tc>
        <w:tc>
          <w:tcPr>
            <w:tcW w:w="1400" w:type="dxa"/>
            <w:tcBorders>
              <w:top w:val="single" w:color="000000" w:sz="4" w:space="0"/>
              <w:left w:val="single" w:color="000000" w:sz="4" w:space="0"/>
              <w:bottom w:val="single" w:color="000000" w:sz="4" w:space="0"/>
              <w:right w:val="single" w:color="000000" w:sz="4" w:space="0"/>
            </w:tcBorders>
          </w:tcPr>
          <w:p w14:paraId="2B7312A4">
            <w:pPr>
              <w:pStyle w:val="17"/>
              <w:rPr>
                <w:rFonts w:ascii="黑体"/>
                <w:sz w:val="18"/>
              </w:rPr>
            </w:pPr>
          </w:p>
          <w:p w14:paraId="5F3C2AF8">
            <w:pPr>
              <w:pStyle w:val="17"/>
              <w:rPr>
                <w:rFonts w:ascii="黑体"/>
                <w:sz w:val="18"/>
              </w:rPr>
            </w:pPr>
          </w:p>
          <w:p w14:paraId="7419FAF0">
            <w:pPr>
              <w:pStyle w:val="17"/>
              <w:rPr>
                <w:rFonts w:ascii="黑体"/>
                <w:sz w:val="18"/>
              </w:rPr>
            </w:pPr>
          </w:p>
          <w:p w14:paraId="72AC4EE3">
            <w:pPr>
              <w:pStyle w:val="17"/>
              <w:rPr>
                <w:rFonts w:ascii="黑体"/>
                <w:sz w:val="18"/>
              </w:rPr>
            </w:pPr>
          </w:p>
          <w:p w14:paraId="7FC7C8B6">
            <w:pPr>
              <w:pStyle w:val="17"/>
              <w:rPr>
                <w:rFonts w:ascii="黑体"/>
                <w:sz w:val="18"/>
              </w:rPr>
            </w:pPr>
          </w:p>
          <w:p w14:paraId="1FD2FF9B">
            <w:pPr>
              <w:pStyle w:val="17"/>
              <w:spacing w:before="146" w:line="333" w:lineRule="auto"/>
              <w:ind w:left="518" w:right="219" w:hanging="280"/>
              <w:rPr>
                <w:sz w:val="18"/>
              </w:rPr>
            </w:pPr>
            <w:r>
              <w:rPr>
                <w:sz w:val="18"/>
              </w:rPr>
              <w:t>出纳与资金管理</w:t>
            </w:r>
          </w:p>
        </w:tc>
        <w:tc>
          <w:tcPr>
            <w:tcW w:w="2616" w:type="dxa"/>
            <w:tcBorders>
              <w:top w:val="single" w:color="000000" w:sz="4" w:space="0"/>
              <w:left w:val="single" w:color="000000" w:sz="4" w:space="0"/>
              <w:bottom w:val="single" w:color="000000" w:sz="4" w:space="0"/>
              <w:right w:val="single" w:color="000000" w:sz="4" w:space="0"/>
            </w:tcBorders>
          </w:tcPr>
          <w:p w14:paraId="773D107A">
            <w:pPr>
              <w:pStyle w:val="17"/>
              <w:spacing w:before="81"/>
              <w:ind w:left="286"/>
              <w:rPr>
                <w:sz w:val="18"/>
              </w:rPr>
            </w:pPr>
            <w:r>
              <w:rPr>
                <w:rFonts w:ascii="仿宋" w:hAnsi="仿宋" w:eastAsia="仿宋"/>
                <w:spacing w:val="-12"/>
                <w:sz w:val="18"/>
              </w:rPr>
              <w:t xml:space="preserve">① </w:t>
            </w:r>
            <w:r>
              <w:rPr>
                <w:spacing w:val="-6"/>
                <w:sz w:val="18"/>
              </w:rPr>
              <w:t>审核资金收付业务流程。</w:t>
            </w:r>
          </w:p>
          <w:p w14:paraId="0ACDE3DB">
            <w:pPr>
              <w:pStyle w:val="17"/>
              <w:spacing w:before="85"/>
              <w:ind w:left="298"/>
              <w:rPr>
                <w:sz w:val="18"/>
              </w:rPr>
            </w:pPr>
            <w:r>
              <w:rPr>
                <w:rFonts w:ascii="仿宋" w:hAnsi="仿宋" w:eastAsia="仿宋"/>
                <w:spacing w:val="25"/>
                <w:sz w:val="18"/>
              </w:rPr>
              <w:t xml:space="preserve">② </w:t>
            </w:r>
            <w:r>
              <w:rPr>
                <w:sz w:val="18"/>
              </w:rPr>
              <w:t>办理现金收付。</w:t>
            </w:r>
          </w:p>
          <w:p w14:paraId="7B05F28A">
            <w:pPr>
              <w:pStyle w:val="17"/>
              <w:spacing w:before="84"/>
              <w:ind w:left="298"/>
              <w:rPr>
                <w:sz w:val="18"/>
              </w:rPr>
            </w:pPr>
            <w:r>
              <w:rPr>
                <w:rFonts w:ascii="仿宋" w:hAnsi="仿宋" w:eastAsia="仿宋"/>
                <w:spacing w:val="25"/>
                <w:sz w:val="18"/>
              </w:rPr>
              <w:t xml:space="preserve">③ </w:t>
            </w:r>
            <w:r>
              <w:rPr>
                <w:sz w:val="18"/>
              </w:rPr>
              <w:t>办理银行结算。</w:t>
            </w:r>
          </w:p>
          <w:p w14:paraId="2D9FE5B5">
            <w:pPr>
              <w:pStyle w:val="17"/>
              <w:spacing w:before="85" w:line="326" w:lineRule="auto"/>
              <w:ind w:left="112" w:right="85" w:firstLine="186"/>
              <w:rPr>
                <w:sz w:val="18"/>
              </w:rPr>
            </w:pPr>
            <w:r>
              <w:rPr>
                <w:rFonts w:ascii="仿宋" w:hAnsi="仿宋" w:eastAsia="仿宋"/>
                <w:spacing w:val="9"/>
                <w:sz w:val="18"/>
              </w:rPr>
              <w:t xml:space="preserve">④ </w:t>
            </w:r>
            <w:r>
              <w:rPr>
                <w:spacing w:val="10"/>
                <w:sz w:val="18"/>
              </w:rPr>
              <w:t>进行资金收付业务账务</w:t>
            </w:r>
            <w:r>
              <w:rPr>
                <w:sz w:val="18"/>
              </w:rPr>
              <w:t>处理。</w:t>
            </w:r>
          </w:p>
          <w:p w14:paraId="19FA5F37">
            <w:pPr>
              <w:pStyle w:val="17"/>
              <w:spacing w:before="3"/>
              <w:ind w:left="283"/>
              <w:rPr>
                <w:sz w:val="18"/>
              </w:rPr>
            </w:pPr>
            <w:r>
              <w:rPr>
                <w:rFonts w:ascii="仿宋" w:hAnsi="仿宋" w:eastAsia="仿宋"/>
                <w:spacing w:val="-10"/>
                <w:w w:val="95"/>
                <w:sz w:val="18"/>
              </w:rPr>
              <w:t xml:space="preserve">⑤ </w:t>
            </w:r>
            <w:r>
              <w:rPr>
                <w:spacing w:val="-1"/>
                <w:w w:val="95"/>
                <w:sz w:val="18"/>
              </w:rPr>
              <w:t>实施现金盘点与银行对账。</w:t>
            </w:r>
          </w:p>
          <w:p w14:paraId="6A043A2E">
            <w:pPr>
              <w:pStyle w:val="17"/>
              <w:spacing w:before="83"/>
              <w:ind w:left="298"/>
              <w:rPr>
                <w:sz w:val="18"/>
              </w:rPr>
            </w:pPr>
            <w:r>
              <w:rPr>
                <w:rFonts w:ascii="仿宋" w:hAnsi="仿宋" w:eastAsia="仿宋"/>
                <w:spacing w:val="19"/>
                <w:sz w:val="18"/>
              </w:rPr>
              <w:t xml:space="preserve">⑥ </w:t>
            </w:r>
            <w:r>
              <w:rPr>
                <w:sz w:val="18"/>
              </w:rPr>
              <w:t>保管印鉴与票证。</w:t>
            </w:r>
          </w:p>
          <w:p w14:paraId="4D604CAB">
            <w:pPr>
              <w:pStyle w:val="17"/>
              <w:spacing w:before="85" w:line="326" w:lineRule="auto"/>
              <w:ind w:left="112" w:right="85" w:firstLine="186"/>
              <w:rPr>
                <w:sz w:val="18"/>
              </w:rPr>
            </w:pPr>
            <w:r>
              <w:rPr>
                <w:rFonts w:ascii="仿宋" w:hAnsi="仿宋" w:eastAsia="仿宋"/>
                <w:spacing w:val="9"/>
                <w:sz w:val="18"/>
              </w:rPr>
              <w:t xml:space="preserve">⑦ </w:t>
            </w:r>
            <w:r>
              <w:rPr>
                <w:spacing w:val="10"/>
                <w:sz w:val="18"/>
              </w:rPr>
              <w:t>管理与供应商和客户往</w:t>
            </w:r>
            <w:r>
              <w:rPr>
                <w:sz w:val="18"/>
              </w:rPr>
              <w:t>来账。</w:t>
            </w:r>
          </w:p>
          <w:p w14:paraId="7BEDF45B">
            <w:pPr>
              <w:pStyle w:val="17"/>
              <w:spacing w:before="3" w:line="214" w:lineRule="exact"/>
              <w:ind w:left="299"/>
              <w:rPr>
                <w:sz w:val="18"/>
              </w:rPr>
            </w:pPr>
            <w:r>
              <w:rPr>
                <w:rFonts w:ascii="仿宋" w:hAnsi="仿宋" w:eastAsia="仿宋"/>
                <w:spacing w:val="14"/>
                <w:sz w:val="18"/>
              </w:rPr>
              <w:t xml:space="preserve">⑧ </w:t>
            </w:r>
            <w:r>
              <w:rPr>
                <w:sz w:val="18"/>
              </w:rPr>
              <w:t>编制资金报表</w:t>
            </w:r>
          </w:p>
        </w:tc>
        <w:tc>
          <w:tcPr>
            <w:tcW w:w="4056" w:type="dxa"/>
            <w:tcBorders>
              <w:top w:val="single" w:color="000000" w:sz="4" w:space="0"/>
              <w:left w:val="single" w:color="000000" w:sz="4" w:space="0"/>
              <w:bottom w:val="single" w:color="000000" w:sz="4" w:space="0"/>
            </w:tcBorders>
          </w:tcPr>
          <w:p w14:paraId="2CF470CF">
            <w:pPr>
              <w:pStyle w:val="17"/>
              <w:spacing w:before="6"/>
              <w:rPr>
                <w:rFonts w:ascii="黑体"/>
                <w:sz w:val="26"/>
              </w:rPr>
            </w:pPr>
          </w:p>
          <w:p w14:paraId="43D240C2">
            <w:pPr>
              <w:pStyle w:val="17"/>
              <w:spacing w:line="333" w:lineRule="auto"/>
              <w:ind w:left="108" w:right="91" w:firstLine="186"/>
              <w:rPr>
                <w:sz w:val="18"/>
              </w:rPr>
            </w:pPr>
            <w:r>
              <w:rPr>
                <w:rFonts w:ascii="仿宋" w:hAnsi="仿宋" w:eastAsia="仿宋"/>
                <w:spacing w:val="5"/>
                <w:sz w:val="18"/>
              </w:rPr>
              <w:t xml:space="preserve">① </w:t>
            </w:r>
            <w:r>
              <w:rPr>
                <w:sz w:val="18"/>
              </w:rPr>
              <w:t>能熟练操作收银设备工具，会处理账单卡券业务。</w:t>
            </w:r>
          </w:p>
          <w:p w14:paraId="2BF47DE2">
            <w:pPr>
              <w:pStyle w:val="17"/>
              <w:spacing w:line="333" w:lineRule="auto"/>
              <w:ind w:left="108" w:right="91" w:firstLine="186"/>
              <w:rPr>
                <w:sz w:val="18"/>
              </w:rPr>
            </w:pPr>
            <w:r>
              <w:rPr>
                <w:rFonts w:ascii="仿宋" w:hAnsi="仿宋" w:eastAsia="仿宋"/>
                <w:spacing w:val="5"/>
                <w:sz w:val="18"/>
              </w:rPr>
              <w:t xml:space="preserve">② </w:t>
            </w:r>
            <w:r>
              <w:rPr>
                <w:sz w:val="18"/>
              </w:rPr>
              <w:t>会办理银行结算业务和利用第三方平台办理收付款手续。</w:t>
            </w:r>
          </w:p>
          <w:p w14:paraId="39C423D9">
            <w:pPr>
              <w:pStyle w:val="17"/>
              <w:spacing w:line="230" w:lineRule="exact"/>
              <w:ind w:left="293" w:right="-15"/>
              <w:rPr>
                <w:sz w:val="18"/>
              </w:rPr>
            </w:pPr>
            <w:r>
              <w:rPr>
                <w:rFonts w:ascii="仿宋" w:hAnsi="仿宋" w:eastAsia="仿宋"/>
                <w:spacing w:val="23"/>
                <w:sz w:val="18"/>
              </w:rPr>
              <w:t xml:space="preserve">③ </w:t>
            </w:r>
            <w:r>
              <w:rPr>
                <w:sz w:val="18"/>
              </w:rPr>
              <w:t>能规范、安全地保管现金、票据、印鉴等。</w:t>
            </w:r>
          </w:p>
          <w:p w14:paraId="4249D033">
            <w:pPr>
              <w:pStyle w:val="17"/>
              <w:spacing w:before="87"/>
              <w:ind w:left="293"/>
              <w:rPr>
                <w:sz w:val="18"/>
              </w:rPr>
            </w:pPr>
            <w:r>
              <w:rPr>
                <w:rFonts w:ascii="仿宋" w:hAnsi="仿宋" w:eastAsia="仿宋"/>
                <w:spacing w:val="18"/>
                <w:sz w:val="18"/>
              </w:rPr>
              <w:t xml:space="preserve">④ </w:t>
            </w:r>
            <w:r>
              <w:rPr>
                <w:spacing w:val="-4"/>
                <w:sz w:val="18"/>
              </w:rPr>
              <w:t xml:space="preserve">了解银行对账 </w:t>
            </w:r>
            <w:r>
              <w:rPr>
                <w:rFonts w:ascii="Times New Roman" w:hAnsi="Times New Roman" w:eastAsia="Times New Roman"/>
                <w:sz w:val="18"/>
              </w:rPr>
              <w:t>RPA</w:t>
            </w:r>
            <w:r>
              <w:rPr>
                <w:rFonts w:ascii="Times New Roman" w:hAnsi="Times New Roman" w:eastAsia="Times New Roman"/>
                <w:spacing w:val="19"/>
                <w:sz w:val="18"/>
              </w:rPr>
              <w:t xml:space="preserve"> </w:t>
            </w:r>
            <w:r>
              <w:rPr>
                <w:sz w:val="18"/>
              </w:rPr>
              <w:t>智能工具应用场景。</w:t>
            </w:r>
          </w:p>
          <w:p w14:paraId="7793D269">
            <w:pPr>
              <w:pStyle w:val="17"/>
              <w:spacing w:before="90" w:line="333" w:lineRule="auto"/>
              <w:ind w:left="108" w:right="91" w:firstLine="186"/>
              <w:rPr>
                <w:sz w:val="18"/>
              </w:rPr>
            </w:pPr>
            <w:r>
              <w:rPr>
                <w:rFonts w:ascii="仿宋" w:hAnsi="仿宋" w:eastAsia="仿宋"/>
                <w:spacing w:val="5"/>
                <w:sz w:val="18"/>
              </w:rPr>
              <w:t xml:space="preserve">⑤ </w:t>
            </w:r>
            <w:r>
              <w:rPr>
                <w:sz w:val="18"/>
              </w:rPr>
              <w:t>会编制现金日报表、资金变动表、现金流量结余表等资金报表</w:t>
            </w:r>
          </w:p>
        </w:tc>
      </w:tr>
      <w:tr w14:paraId="5FF76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9" w:hRule="atLeast"/>
        </w:trPr>
        <w:tc>
          <w:tcPr>
            <w:tcW w:w="624" w:type="dxa"/>
            <w:tcBorders>
              <w:top w:val="single" w:color="000000" w:sz="4" w:space="0"/>
              <w:bottom w:val="single" w:color="000000" w:sz="4" w:space="0"/>
              <w:right w:val="single" w:color="000000" w:sz="4" w:space="0"/>
            </w:tcBorders>
          </w:tcPr>
          <w:p w14:paraId="05CDD001">
            <w:pPr>
              <w:pStyle w:val="17"/>
              <w:rPr>
                <w:sz w:val="20"/>
              </w:rPr>
            </w:pPr>
          </w:p>
          <w:p w14:paraId="5EAECA3E">
            <w:pPr>
              <w:pStyle w:val="17"/>
              <w:rPr>
                <w:sz w:val="20"/>
              </w:rPr>
            </w:pPr>
          </w:p>
          <w:p w14:paraId="54F2B545">
            <w:pPr>
              <w:pStyle w:val="17"/>
              <w:rPr>
                <w:sz w:val="20"/>
              </w:rPr>
            </w:pPr>
          </w:p>
          <w:p w14:paraId="7E31622A">
            <w:pPr>
              <w:pStyle w:val="17"/>
              <w:rPr>
                <w:sz w:val="20"/>
              </w:rPr>
            </w:pPr>
          </w:p>
          <w:p w14:paraId="2082C1AE">
            <w:pPr>
              <w:pStyle w:val="17"/>
              <w:rPr>
                <w:sz w:val="20"/>
              </w:rPr>
            </w:pPr>
          </w:p>
          <w:p w14:paraId="4DD50C09">
            <w:pPr>
              <w:pStyle w:val="17"/>
              <w:spacing w:before="1"/>
              <w:rPr>
                <w:sz w:val="29"/>
              </w:rPr>
            </w:pPr>
          </w:p>
          <w:p w14:paraId="0A06D19C">
            <w:pPr>
              <w:pStyle w:val="17"/>
              <w:ind w:left="15"/>
              <w:jc w:val="center"/>
              <w:rPr>
                <w:rFonts w:ascii="Times New Roman"/>
                <w:sz w:val="18"/>
              </w:rPr>
            </w:pPr>
            <w:r>
              <w:rPr>
                <w:rFonts w:ascii="Times New Roman"/>
                <w:sz w:val="18"/>
              </w:rPr>
              <w:t>2</w:t>
            </w:r>
          </w:p>
        </w:tc>
        <w:tc>
          <w:tcPr>
            <w:tcW w:w="1400" w:type="dxa"/>
            <w:tcBorders>
              <w:top w:val="single" w:color="000000" w:sz="4" w:space="0"/>
              <w:left w:val="single" w:color="000000" w:sz="4" w:space="0"/>
              <w:bottom w:val="single" w:color="000000" w:sz="4" w:space="0"/>
              <w:right w:val="single" w:color="000000" w:sz="4" w:space="0"/>
            </w:tcBorders>
          </w:tcPr>
          <w:p w14:paraId="4DA9A018">
            <w:pPr>
              <w:pStyle w:val="17"/>
              <w:rPr>
                <w:sz w:val="18"/>
              </w:rPr>
            </w:pPr>
          </w:p>
          <w:p w14:paraId="45F648E1">
            <w:pPr>
              <w:pStyle w:val="17"/>
              <w:rPr>
                <w:sz w:val="18"/>
              </w:rPr>
            </w:pPr>
          </w:p>
          <w:p w14:paraId="0998FB1E">
            <w:pPr>
              <w:pStyle w:val="17"/>
              <w:rPr>
                <w:sz w:val="18"/>
              </w:rPr>
            </w:pPr>
          </w:p>
          <w:p w14:paraId="69146C72">
            <w:pPr>
              <w:pStyle w:val="17"/>
              <w:rPr>
                <w:sz w:val="18"/>
              </w:rPr>
            </w:pPr>
          </w:p>
          <w:p w14:paraId="667E433D">
            <w:pPr>
              <w:pStyle w:val="17"/>
              <w:rPr>
                <w:sz w:val="18"/>
              </w:rPr>
            </w:pPr>
          </w:p>
          <w:p w14:paraId="40BEFC40">
            <w:pPr>
              <w:pStyle w:val="17"/>
              <w:rPr>
                <w:sz w:val="18"/>
              </w:rPr>
            </w:pPr>
          </w:p>
          <w:p w14:paraId="4C2CF71D">
            <w:pPr>
              <w:pStyle w:val="17"/>
              <w:spacing w:before="5"/>
              <w:rPr>
                <w:sz w:val="20"/>
              </w:rPr>
            </w:pPr>
          </w:p>
          <w:p w14:paraId="2F7792FB">
            <w:pPr>
              <w:pStyle w:val="17"/>
              <w:ind w:left="144" w:right="126"/>
              <w:jc w:val="center"/>
              <w:rPr>
                <w:sz w:val="18"/>
              </w:rPr>
            </w:pPr>
            <w:r>
              <w:rPr>
                <w:sz w:val="18"/>
              </w:rPr>
              <w:t>企业会计实务</w:t>
            </w:r>
          </w:p>
        </w:tc>
        <w:tc>
          <w:tcPr>
            <w:tcW w:w="2616" w:type="dxa"/>
            <w:tcBorders>
              <w:top w:val="single" w:color="000000" w:sz="4" w:space="0"/>
              <w:left w:val="single" w:color="000000" w:sz="4" w:space="0"/>
              <w:bottom w:val="single" w:color="000000" w:sz="4" w:space="0"/>
              <w:right w:val="single" w:color="000000" w:sz="4" w:space="0"/>
            </w:tcBorders>
          </w:tcPr>
          <w:p w14:paraId="07A1B145">
            <w:pPr>
              <w:pStyle w:val="17"/>
              <w:spacing w:before="44"/>
              <w:ind w:left="298"/>
              <w:rPr>
                <w:sz w:val="18"/>
              </w:rPr>
            </w:pPr>
            <w:r>
              <w:rPr>
                <w:rFonts w:ascii="仿宋" w:hAnsi="仿宋" w:eastAsia="仿宋"/>
                <w:spacing w:val="21"/>
                <w:sz w:val="18"/>
              </w:rPr>
              <w:t xml:space="preserve">① </w:t>
            </w:r>
            <w:r>
              <w:rPr>
                <w:sz w:val="18"/>
              </w:rPr>
              <w:t>核算资金筹集业务。</w:t>
            </w:r>
          </w:p>
          <w:p w14:paraId="5555D9E1">
            <w:pPr>
              <w:pStyle w:val="17"/>
              <w:spacing w:before="90" w:line="333" w:lineRule="auto"/>
              <w:ind w:left="112" w:right="85" w:firstLine="186"/>
              <w:rPr>
                <w:sz w:val="18"/>
              </w:rPr>
            </w:pPr>
            <w:r>
              <w:rPr>
                <w:rFonts w:ascii="仿宋" w:hAnsi="仿宋" w:eastAsia="仿宋"/>
                <w:spacing w:val="9"/>
                <w:sz w:val="18"/>
              </w:rPr>
              <w:t xml:space="preserve">② </w:t>
            </w:r>
            <w:r>
              <w:rPr>
                <w:spacing w:val="10"/>
                <w:sz w:val="18"/>
              </w:rPr>
              <w:t>核算交易性金融资产投</w:t>
            </w:r>
            <w:r>
              <w:rPr>
                <w:sz w:val="18"/>
              </w:rPr>
              <w:t>资业务。</w:t>
            </w:r>
          </w:p>
          <w:p w14:paraId="152AB84B">
            <w:pPr>
              <w:pStyle w:val="17"/>
              <w:spacing w:line="229" w:lineRule="exact"/>
              <w:ind w:left="298"/>
              <w:rPr>
                <w:sz w:val="18"/>
              </w:rPr>
            </w:pPr>
            <w:r>
              <w:rPr>
                <w:spacing w:val="3"/>
                <w:sz w:val="18"/>
              </w:rPr>
              <w:t>③ 核算采购与应付业务。</w:t>
            </w:r>
          </w:p>
          <w:p w14:paraId="44F495E8">
            <w:pPr>
              <w:pStyle w:val="17"/>
              <w:spacing w:before="89"/>
              <w:ind w:left="298"/>
              <w:rPr>
                <w:sz w:val="18"/>
              </w:rPr>
            </w:pPr>
            <w:r>
              <w:rPr>
                <w:spacing w:val="3"/>
                <w:sz w:val="18"/>
              </w:rPr>
              <w:t>④ 核算销售与应收业务。</w:t>
            </w:r>
          </w:p>
          <w:p w14:paraId="4BE5F494">
            <w:pPr>
              <w:pStyle w:val="17"/>
              <w:spacing w:before="90" w:line="331" w:lineRule="auto"/>
              <w:ind w:left="112" w:right="98" w:firstLine="186"/>
              <w:rPr>
                <w:sz w:val="18"/>
              </w:rPr>
            </w:pPr>
            <w:r>
              <w:rPr>
                <w:spacing w:val="7"/>
                <w:sz w:val="18"/>
              </w:rPr>
              <w:t>⑤ 核算固定资产和无形资</w:t>
            </w:r>
            <w:r>
              <w:rPr>
                <w:sz w:val="18"/>
              </w:rPr>
              <w:t>产业务。</w:t>
            </w:r>
          </w:p>
          <w:p w14:paraId="5CDA0C76">
            <w:pPr>
              <w:pStyle w:val="17"/>
              <w:spacing w:before="3"/>
              <w:ind w:left="298"/>
              <w:rPr>
                <w:sz w:val="18"/>
              </w:rPr>
            </w:pPr>
            <w:r>
              <w:rPr>
                <w:spacing w:val="1"/>
                <w:sz w:val="18"/>
              </w:rPr>
              <w:t>⑥ 核算工资薪金业务。</w:t>
            </w:r>
          </w:p>
          <w:p w14:paraId="109AA90C">
            <w:pPr>
              <w:pStyle w:val="17"/>
              <w:spacing w:before="90"/>
              <w:ind w:left="298"/>
              <w:rPr>
                <w:sz w:val="18"/>
              </w:rPr>
            </w:pPr>
            <w:r>
              <w:rPr>
                <w:sz w:val="18"/>
              </w:rPr>
              <w:t>⑦ 核算与控制期间费用。</w:t>
            </w:r>
          </w:p>
          <w:p w14:paraId="2F8C0E9E">
            <w:pPr>
              <w:pStyle w:val="17"/>
              <w:spacing w:before="89"/>
              <w:ind w:left="298"/>
              <w:rPr>
                <w:sz w:val="18"/>
              </w:rPr>
            </w:pPr>
            <w:r>
              <w:rPr>
                <w:spacing w:val="2"/>
                <w:sz w:val="18"/>
              </w:rPr>
              <w:t>⑧ 核算财务成果。</w:t>
            </w:r>
          </w:p>
          <w:p w14:paraId="05453EC9">
            <w:pPr>
              <w:pStyle w:val="17"/>
              <w:spacing w:before="89"/>
              <w:ind w:left="298"/>
              <w:rPr>
                <w:rFonts w:ascii="仿宋" w:hAnsi="仿宋" w:eastAsia="仿宋"/>
                <w:spacing w:val="14"/>
                <w:sz w:val="18"/>
              </w:rPr>
            </w:pPr>
            <w:r>
              <w:rPr>
                <w:spacing w:val="1"/>
                <w:sz w:val="18"/>
              </w:rPr>
              <w:t>⑨ 编制会计报表</w:t>
            </w:r>
          </w:p>
        </w:tc>
        <w:tc>
          <w:tcPr>
            <w:tcW w:w="4056" w:type="dxa"/>
            <w:tcBorders>
              <w:top w:val="single" w:color="000000" w:sz="4" w:space="0"/>
              <w:left w:val="single" w:color="000000" w:sz="4" w:space="0"/>
              <w:bottom w:val="single" w:color="000000" w:sz="4" w:space="0"/>
            </w:tcBorders>
          </w:tcPr>
          <w:p w14:paraId="202B337D">
            <w:pPr>
              <w:pStyle w:val="17"/>
              <w:rPr>
                <w:sz w:val="18"/>
              </w:rPr>
            </w:pPr>
          </w:p>
          <w:p w14:paraId="70149604">
            <w:pPr>
              <w:pStyle w:val="17"/>
              <w:spacing w:before="3"/>
              <w:rPr>
                <w:sz w:val="23"/>
              </w:rPr>
            </w:pPr>
          </w:p>
          <w:p w14:paraId="04ED4B52">
            <w:pPr>
              <w:pStyle w:val="17"/>
              <w:ind w:left="293"/>
              <w:rPr>
                <w:sz w:val="18"/>
              </w:rPr>
            </w:pPr>
            <w:r>
              <w:rPr>
                <w:rFonts w:ascii="仿宋" w:hAnsi="仿宋" w:eastAsia="仿宋"/>
                <w:spacing w:val="37"/>
                <w:sz w:val="18"/>
              </w:rPr>
              <w:t xml:space="preserve">① </w:t>
            </w:r>
            <w:r>
              <w:rPr>
                <w:sz w:val="18"/>
              </w:rPr>
              <w:t>熟悉企业主要经济业务的基本办理流程。</w:t>
            </w:r>
          </w:p>
          <w:p w14:paraId="15D360D1">
            <w:pPr>
              <w:pStyle w:val="17"/>
              <w:spacing w:before="90" w:line="333" w:lineRule="auto"/>
              <w:ind w:left="107" w:right="78" w:firstLine="186"/>
              <w:rPr>
                <w:sz w:val="18"/>
              </w:rPr>
            </w:pPr>
            <w:r>
              <w:rPr>
                <w:spacing w:val="14"/>
                <w:sz w:val="18"/>
              </w:rPr>
              <w:t>② 熟悉企业主要经济业务会计核算政策与</w:t>
            </w:r>
            <w:r>
              <w:rPr>
                <w:spacing w:val="3"/>
                <w:sz w:val="18"/>
              </w:rPr>
              <w:t>方法。</w:t>
            </w:r>
          </w:p>
          <w:p w14:paraId="2D4F6FE9">
            <w:pPr>
              <w:pStyle w:val="17"/>
              <w:spacing w:line="333" w:lineRule="auto"/>
              <w:ind w:left="107" w:right="92" w:firstLine="186"/>
              <w:rPr>
                <w:sz w:val="18"/>
              </w:rPr>
            </w:pPr>
            <w:r>
              <w:rPr>
                <w:sz w:val="18"/>
              </w:rPr>
              <w:t>③ 会应用会计账户正确记录计量企业主要经济业务。</w:t>
            </w:r>
          </w:p>
          <w:p w14:paraId="18C120BA">
            <w:pPr>
              <w:pStyle w:val="17"/>
              <w:spacing w:line="331" w:lineRule="auto"/>
              <w:ind w:left="107" w:right="92" w:firstLine="186"/>
              <w:rPr>
                <w:sz w:val="18"/>
              </w:rPr>
            </w:pPr>
            <w:r>
              <w:rPr>
                <w:sz w:val="18"/>
              </w:rPr>
              <w:t>④ 会应用相关政策法规和企业规定审核企业主要经济业务。</w:t>
            </w:r>
          </w:p>
          <w:p w14:paraId="63262AC2">
            <w:pPr>
              <w:pStyle w:val="17"/>
              <w:spacing w:before="34"/>
              <w:ind w:left="293"/>
              <w:rPr>
                <w:rFonts w:ascii="仿宋" w:hAnsi="仿宋" w:eastAsia="仿宋"/>
                <w:spacing w:val="5"/>
                <w:sz w:val="18"/>
              </w:rPr>
            </w:pPr>
            <w:r>
              <w:rPr>
                <w:sz w:val="18"/>
              </w:rPr>
              <w:t>⑤ 会编制资产负债表和利润表</w:t>
            </w:r>
          </w:p>
        </w:tc>
      </w:tr>
      <w:tr w14:paraId="19285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4" w:hRule="atLeast"/>
        </w:trPr>
        <w:tc>
          <w:tcPr>
            <w:tcW w:w="624" w:type="dxa"/>
            <w:tcBorders>
              <w:top w:val="single" w:color="000000" w:sz="4" w:space="0"/>
              <w:bottom w:val="single" w:color="000000" w:sz="4" w:space="0"/>
              <w:right w:val="single" w:color="000000" w:sz="4" w:space="0"/>
            </w:tcBorders>
            <w:vAlign w:val="center"/>
          </w:tcPr>
          <w:p w14:paraId="138B7736">
            <w:pPr>
              <w:pStyle w:val="17"/>
              <w:ind w:left="15"/>
              <w:jc w:val="center"/>
              <w:rPr>
                <w:rFonts w:ascii="Times New Roman"/>
                <w:sz w:val="18"/>
              </w:rPr>
            </w:pPr>
            <w:r>
              <w:rPr>
                <w:rFonts w:hint="eastAsia" w:ascii="Times New Roman"/>
                <w:sz w:val="18"/>
                <w:lang w:val="en-US" w:eastAsia="zh-CN"/>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0E36">
            <w:pPr>
              <w:spacing w:line="300" w:lineRule="auto"/>
              <w:jc w:val="both"/>
              <w:rPr>
                <w:rFonts w:ascii="宋体" w:hAnsi="宋体" w:eastAsia="宋体" w:cs="宋体"/>
                <w:spacing w:val="2"/>
                <w:kern w:val="2"/>
                <w:sz w:val="18"/>
                <w:szCs w:val="22"/>
                <w:lang w:val="en-US" w:eastAsia="zh-CN" w:bidi="ar-SA"/>
              </w:rPr>
            </w:pPr>
          </w:p>
          <w:p w14:paraId="26ECF6BF">
            <w:pPr>
              <w:pStyle w:val="15"/>
              <w:spacing w:before="68" w:line="219" w:lineRule="auto"/>
              <w:ind w:left="120" w:leftChars="0"/>
              <w:jc w:val="both"/>
              <w:rPr>
                <w:sz w:val="18"/>
              </w:rPr>
            </w:pPr>
            <w:r>
              <w:rPr>
                <w:rFonts w:ascii="宋体" w:hAnsi="宋体" w:eastAsia="宋体" w:cs="宋体"/>
                <w:spacing w:val="2"/>
                <w:kern w:val="2"/>
                <w:sz w:val="18"/>
                <w:szCs w:val="22"/>
                <w:lang w:val="en-US" w:eastAsia="zh-CN" w:bidi="ar-SA"/>
              </w:rPr>
              <w:t>成本会计</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top"/>
          </w:tcPr>
          <w:p w14:paraId="0D23863B">
            <w:pPr>
              <w:pStyle w:val="15"/>
              <w:spacing w:before="57" w:line="261" w:lineRule="auto"/>
              <w:ind w:right="99" w:rightChars="0" w:firstLine="364" w:firstLineChars="200"/>
              <w:jc w:val="both"/>
              <w:rPr>
                <w:rFonts w:hint="eastAsia" w:ascii="宋体" w:hAnsi="宋体" w:eastAsia="宋体" w:cs="宋体"/>
                <w:spacing w:val="1"/>
                <w:kern w:val="2"/>
                <w:sz w:val="18"/>
                <w:szCs w:val="22"/>
                <w:lang w:val="en-US" w:eastAsia="zh-CN" w:bidi="ar-SA"/>
              </w:rPr>
            </w:pPr>
            <w:r>
              <w:rPr>
                <w:rFonts w:ascii="宋体" w:hAnsi="宋体" w:eastAsia="宋体" w:cs="宋体"/>
                <w:spacing w:val="1"/>
                <w:kern w:val="2"/>
                <w:sz w:val="18"/>
                <w:szCs w:val="22"/>
                <w:lang w:val="en-US" w:eastAsia="zh-CN" w:bidi="ar-SA"/>
              </w:rPr>
              <w:t>①</w:t>
            </w:r>
            <w:r>
              <w:rPr>
                <w:rFonts w:hint="eastAsia" w:ascii="宋体" w:hAnsi="宋体" w:eastAsia="宋体" w:cs="宋体"/>
                <w:spacing w:val="1"/>
                <w:kern w:val="2"/>
                <w:sz w:val="18"/>
                <w:szCs w:val="22"/>
                <w:lang w:val="en-US" w:eastAsia="zh-CN" w:bidi="ar-SA"/>
              </w:rPr>
              <w:t>要素费用的归集和分配</w:t>
            </w:r>
          </w:p>
          <w:p w14:paraId="39BBB3C0">
            <w:pPr>
              <w:pStyle w:val="17"/>
              <w:spacing w:before="3"/>
              <w:ind w:left="298"/>
              <w:rPr>
                <w:rFonts w:hint="default" w:ascii="宋体" w:hAnsi="宋体" w:eastAsia="宋体" w:cs="宋体"/>
                <w:spacing w:val="1"/>
                <w:kern w:val="2"/>
                <w:sz w:val="18"/>
                <w:szCs w:val="22"/>
                <w:lang w:val="en-US" w:eastAsia="zh-CN" w:bidi="ar-SA"/>
              </w:rPr>
            </w:pPr>
            <w:r>
              <w:rPr>
                <w:rFonts w:hint="default" w:ascii="宋体" w:hAnsi="宋体" w:eastAsia="宋体" w:cs="宋体"/>
                <w:spacing w:val="1"/>
                <w:kern w:val="2"/>
                <w:sz w:val="18"/>
                <w:szCs w:val="22"/>
                <w:lang w:val="en-US" w:eastAsia="zh-CN" w:bidi="ar-SA"/>
              </w:rPr>
              <w:t>②</w:t>
            </w:r>
            <w:r>
              <w:rPr>
                <w:rFonts w:hint="eastAsia" w:ascii="宋体" w:hAnsi="宋体" w:eastAsia="宋体" w:cs="宋体"/>
                <w:spacing w:val="1"/>
                <w:kern w:val="2"/>
                <w:sz w:val="18"/>
                <w:szCs w:val="22"/>
                <w:lang w:val="en-US" w:eastAsia="zh-CN" w:bidi="ar-SA"/>
              </w:rPr>
              <w:t>辅助材料费用的归集和分配</w:t>
            </w:r>
          </w:p>
          <w:p w14:paraId="0E4DD5E5">
            <w:pPr>
              <w:pStyle w:val="17"/>
              <w:spacing w:before="3"/>
              <w:ind w:left="298"/>
              <w:rPr>
                <w:rFonts w:hint="eastAsia" w:ascii="宋体" w:hAnsi="宋体" w:eastAsia="宋体" w:cs="宋体"/>
                <w:spacing w:val="1"/>
                <w:kern w:val="2"/>
                <w:sz w:val="18"/>
                <w:szCs w:val="22"/>
                <w:lang w:val="en-US" w:eastAsia="zh-CN" w:bidi="ar-SA"/>
              </w:rPr>
            </w:pPr>
            <w:r>
              <w:rPr>
                <w:rFonts w:hint="default" w:ascii="宋体" w:hAnsi="宋体" w:eastAsia="宋体" w:cs="宋体"/>
                <w:spacing w:val="1"/>
                <w:kern w:val="2"/>
                <w:sz w:val="18"/>
                <w:szCs w:val="22"/>
                <w:lang w:val="en-US" w:eastAsia="zh-CN" w:bidi="ar-SA"/>
              </w:rPr>
              <w:t>③</w:t>
            </w:r>
            <w:r>
              <w:rPr>
                <w:rFonts w:hint="eastAsia" w:ascii="宋体" w:hAnsi="宋体" w:eastAsia="宋体" w:cs="宋体"/>
                <w:spacing w:val="1"/>
                <w:kern w:val="2"/>
                <w:sz w:val="18"/>
                <w:szCs w:val="22"/>
                <w:lang w:val="en-US" w:eastAsia="zh-CN" w:bidi="ar-SA"/>
              </w:rPr>
              <w:t>制造费用的归集和分配</w:t>
            </w:r>
          </w:p>
          <w:p w14:paraId="08BB44C6">
            <w:pPr>
              <w:pStyle w:val="17"/>
              <w:spacing w:before="3"/>
              <w:ind w:left="298"/>
              <w:rPr>
                <w:rFonts w:ascii="宋体" w:hAnsi="宋体" w:eastAsia="宋体" w:cs="宋体"/>
                <w:spacing w:val="1"/>
                <w:kern w:val="2"/>
                <w:sz w:val="18"/>
                <w:szCs w:val="22"/>
                <w:lang w:val="en-US" w:eastAsia="zh-CN" w:bidi="ar-SA"/>
              </w:rPr>
            </w:pPr>
            <w:r>
              <w:rPr>
                <w:rFonts w:ascii="宋体" w:hAnsi="宋体" w:eastAsia="宋体" w:cs="宋体"/>
                <w:spacing w:val="1"/>
                <w:kern w:val="2"/>
                <w:sz w:val="18"/>
                <w:szCs w:val="22"/>
                <w:lang w:val="en-US" w:eastAsia="zh-CN" w:bidi="ar-SA"/>
              </w:rPr>
              <w:t>④</w:t>
            </w:r>
            <w:r>
              <w:rPr>
                <w:rFonts w:hint="eastAsia" w:cs="宋体"/>
                <w:spacing w:val="1"/>
                <w:kern w:val="2"/>
                <w:sz w:val="18"/>
                <w:szCs w:val="22"/>
                <w:lang w:val="en-US" w:eastAsia="zh-CN" w:bidi="ar-SA"/>
              </w:rPr>
              <w:t>生产损失的归集和分配</w:t>
            </w:r>
          </w:p>
          <w:p w14:paraId="5C0DF7A8">
            <w:pPr>
              <w:pStyle w:val="17"/>
              <w:spacing w:before="3"/>
              <w:ind w:left="298"/>
              <w:rPr>
                <w:rFonts w:ascii="宋体" w:hAnsi="宋体" w:eastAsia="宋体" w:cs="宋体"/>
                <w:spacing w:val="1"/>
                <w:kern w:val="2"/>
                <w:sz w:val="18"/>
                <w:szCs w:val="22"/>
                <w:lang w:val="en-US" w:eastAsia="zh-CN" w:bidi="ar-SA"/>
              </w:rPr>
            </w:pPr>
            <w:r>
              <w:rPr>
                <w:rFonts w:ascii="宋体" w:hAnsi="宋体" w:eastAsia="宋体" w:cs="宋体"/>
                <w:spacing w:val="1"/>
                <w:kern w:val="2"/>
                <w:sz w:val="18"/>
                <w:szCs w:val="22"/>
                <w:lang w:val="en-US" w:eastAsia="zh-CN" w:bidi="ar-SA"/>
              </w:rPr>
              <w:t>⑤</w:t>
            </w:r>
            <w:r>
              <w:rPr>
                <w:rFonts w:hint="eastAsia" w:cs="宋体"/>
                <w:spacing w:val="1"/>
                <w:kern w:val="2"/>
                <w:sz w:val="18"/>
                <w:szCs w:val="22"/>
                <w:lang w:val="en-US" w:eastAsia="zh-CN" w:bidi="ar-SA"/>
              </w:rPr>
              <w:t>在产品与完工产品的成本核算</w:t>
            </w:r>
          </w:p>
          <w:p w14:paraId="798D4E2F">
            <w:pPr>
              <w:pStyle w:val="17"/>
              <w:spacing w:before="3"/>
              <w:ind w:left="298"/>
              <w:rPr>
                <w:rFonts w:ascii="宋体" w:hAnsi="宋体" w:eastAsia="宋体" w:cs="宋体"/>
                <w:spacing w:val="1"/>
                <w:kern w:val="2"/>
                <w:sz w:val="18"/>
                <w:szCs w:val="22"/>
                <w:lang w:val="en-US" w:eastAsia="zh-CN" w:bidi="ar-SA"/>
              </w:rPr>
            </w:pPr>
            <w:r>
              <w:rPr>
                <w:rFonts w:ascii="宋体" w:hAnsi="宋体" w:eastAsia="宋体" w:cs="宋体"/>
                <w:spacing w:val="1"/>
                <w:kern w:val="2"/>
                <w:sz w:val="18"/>
                <w:szCs w:val="22"/>
                <w:lang w:val="en-US" w:eastAsia="zh-CN" w:bidi="ar-SA"/>
              </w:rPr>
              <w:t>⑥</w:t>
            </w:r>
            <w:r>
              <w:rPr>
                <w:rFonts w:hint="eastAsia" w:cs="宋体"/>
                <w:spacing w:val="1"/>
                <w:kern w:val="2"/>
                <w:sz w:val="18"/>
                <w:szCs w:val="22"/>
                <w:lang w:val="en-US" w:eastAsia="zh-CN" w:bidi="ar-SA"/>
              </w:rPr>
              <w:t>产品成本计算方法</w:t>
            </w:r>
          </w:p>
          <w:p w14:paraId="3015F502">
            <w:pPr>
              <w:pStyle w:val="15"/>
              <w:spacing w:before="57" w:line="261" w:lineRule="auto"/>
              <w:ind w:left="117" w:leftChars="0" w:right="99" w:rightChars="0" w:firstLine="447" w:firstLineChars="0"/>
              <w:jc w:val="both"/>
              <w:rPr>
                <w:sz w:val="18"/>
              </w:rPr>
            </w:pPr>
          </w:p>
        </w:tc>
        <w:tc>
          <w:tcPr>
            <w:tcW w:w="4056" w:type="dxa"/>
            <w:tcBorders>
              <w:top w:val="single" w:color="000000" w:sz="4" w:space="0"/>
              <w:left w:val="single" w:color="000000" w:sz="4" w:space="0"/>
              <w:bottom w:val="single" w:color="000000" w:sz="4" w:space="0"/>
            </w:tcBorders>
          </w:tcPr>
          <w:p w14:paraId="0C944246">
            <w:pPr>
              <w:pStyle w:val="17"/>
              <w:spacing w:before="34"/>
              <w:ind w:left="293"/>
              <w:rPr>
                <w:sz w:val="18"/>
              </w:rPr>
            </w:pPr>
            <w:r>
              <w:rPr>
                <w:rFonts w:ascii="宋体" w:hAnsi="宋体" w:eastAsia="宋体" w:cs="宋体"/>
                <w:spacing w:val="2"/>
                <w:kern w:val="2"/>
                <w:sz w:val="18"/>
                <w:szCs w:val="22"/>
                <w:lang w:val="en-US" w:eastAsia="zh-CN" w:bidi="ar-SA"/>
              </w:rPr>
              <w:t>了解成本费用的基本概念与类型，熟悉企业成本核算基本程序，掌握小企业要素费用归集与分配方法，能熟练运用品种法、分批法、分类 法核算小企业成本，了解分步法基本原理，会编制小企业常用成本费用报表。</w:t>
            </w:r>
          </w:p>
        </w:tc>
      </w:tr>
      <w:tr w14:paraId="5C2F7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9" w:hRule="atLeast"/>
        </w:trPr>
        <w:tc>
          <w:tcPr>
            <w:tcW w:w="624" w:type="dxa"/>
            <w:tcBorders>
              <w:top w:val="single" w:color="000000" w:sz="4" w:space="0"/>
              <w:bottom w:val="single" w:color="000000" w:sz="4" w:space="0"/>
              <w:right w:val="single" w:color="000000" w:sz="4" w:space="0"/>
            </w:tcBorders>
            <w:shd w:val="clear" w:color="auto" w:fill="auto"/>
            <w:vAlign w:val="top"/>
          </w:tcPr>
          <w:p w14:paraId="76189FDE">
            <w:pPr>
              <w:pStyle w:val="17"/>
              <w:rPr>
                <w:sz w:val="20"/>
              </w:rPr>
            </w:pPr>
          </w:p>
          <w:p w14:paraId="5CB99630">
            <w:pPr>
              <w:pStyle w:val="17"/>
              <w:rPr>
                <w:sz w:val="20"/>
              </w:rPr>
            </w:pPr>
          </w:p>
          <w:p w14:paraId="4A7F4B70">
            <w:pPr>
              <w:pStyle w:val="17"/>
              <w:rPr>
                <w:sz w:val="20"/>
              </w:rPr>
            </w:pPr>
          </w:p>
          <w:p w14:paraId="38DE22BC">
            <w:pPr>
              <w:pStyle w:val="17"/>
              <w:rPr>
                <w:sz w:val="20"/>
              </w:rPr>
            </w:pPr>
          </w:p>
          <w:p w14:paraId="076895F3">
            <w:pPr>
              <w:pStyle w:val="17"/>
              <w:rPr>
                <w:sz w:val="20"/>
              </w:rPr>
            </w:pPr>
          </w:p>
          <w:p w14:paraId="3C257688">
            <w:pPr>
              <w:pStyle w:val="17"/>
              <w:rPr>
                <w:sz w:val="20"/>
              </w:rPr>
            </w:pPr>
          </w:p>
          <w:p w14:paraId="132C16B6">
            <w:pPr>
              <w:pStyle w:val="17"/>
              <w:rPr>
                <w:sz w:val="20"/>
              </w:rPr>
            </w:pPr>
          </w:p>
          <w:p w14:paraId="23FB9363">
            <w:pPr>
              <w:pStyle w:val="17"/>
              <w:spacing w:before="10"/>
              <w:rPr>
                <w:sz w:val="28"/>
              </w:rPr>
            </w:pPr>
          </w:p>
          <w:p w14:paraId="080EE792">
            <w:pPr>
              <w:pStyle w:val="17"/>
              <w:spacing w:before="1"/>
              <w:ind w:left="15" w:leftChars="0"/>
              <w:jc w:val="center"/>
              <w:rPr>
                <w:rFonts w:hint="eastAsia" w:ascii="Times New Roman" w:eastAsia="宋体"/>
                <w:sz w:val="18"/>
                <w:lang w:val="en-US" w:eastAsia="zh-CN"/>
              </w:rPr>
            </w:pPr>
            <w:r>
              <w:rPr>
                <w:rFonts w:hint="eastAsia" w:ascii="Times New Roman"/>
                <w:sz w:val="18"/>
                <w:lang w:val="en-US" w:eastAsia="zh-CN"/>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0128563A">
            <w:pPr>
              <w:pStyle w:val="17"/>
              <w:rPr>
                <w:sz w:val="18"/>
              </w:rPr>
            </w:pPr>
          </w:p>
          <w:p w14:paraId="78EC4BF8">
            <w:pPr>
              <w:pStyle w:val="17"/>
              <w:rPr>
                <w:sz w:val="18"/>
              </w:rPr>
            </w:pPr>
          </w:p>
          <w:p w14:paraId="298CDE55">
            <w:pPr>
              <w:pStyle w:val="17"/>
              <w:rPr>
                <w:sz w:val="18"/>
              </w:rPr>
            </w:pPr>
          </w:p>
          <w:p w14:paraId="65CD6831">
            <w:pPr>
              <w:pStyle w:val="17"/>
              <w:rPr>
                <w:sz w:val="18"/>
              </w:rPr>
            </w:pPr>
          </w:p>
          <w:p w14:paraId="7AF21C8E">
            <w:pPr>
              <w:pStyle w:val="17"/>
              <w:rPr>
                <w:sz w:val="18"/>
              </w:rPr>
            </w:pPr>
          </w:p>
          <w:p w14:paraId="4BC507F9">
            <w:pPr>
              <w:pStyle w:val="17"/>
              <w:rPr>
                <w:sz w:val="18"/>
              </w:rPr>
            </w:pPr>
          </w:p>
          <w:p w14:paraId="27E158D9">
            <w:pPr>
              <w:pStyle w:val="17"/>
              <w:rPr>
                <w:sz w:val="18"/>
              </w:rPr>
            </w:pPr>
          </w:p>
          <w:p w14:paraId="57B68635">
            <w:pPr>
              <w:pStyle w:val="17"/>
              <w:rPr>
                <w:sz w:val="18"/>
              </w:rPr>
            </w:pPr>
          </w:p>
          <w:p w14:paraId="34B37E53">
            <w:pPr>
              <w:pStyle w:val="17"/>
              <w:spacing w:before="142" w:line="321" w:lineRule="auto"/>
              <w:ind w:left="424" w:leftChars="0" w:right="125" w:rightChars="0" w:hanging="279" w:firstLineChars="0"/>
              <w:rPr>
                <w:rFonts w:ascii="宋体" w:hAnsi="宋体" w:eastAsia="宋体" w:cs="宋体"/>
                <w:spacing w:val="2"/>
                <w:kern w:val="2"/>
                <w:sz w:val="18"/>
                <w:szCs w:val="22"/>
                <w:lang w:val="en-US" w:eastAsia="en-US" w:bidi="ar-SA"/>
              </w:rPr>
            </w:pPr>
            <w:r>
              <w:rPr>
                <w:sz w:val="18"/>
              </w:rPr>
              <w:t>税费核算与智能申报</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top"/>
          </w:tcPr>
          <w:p w14:paraId="7F7B9E72">
            <w:pPr>
              <w:pStyle w:val="17"/>
              <w:spacing w:before="76" w:line="321" w:lineRule="auto"/>
              <w:ind w:left="113" w:right="85" w:firstLine="186"/>
              <w:rPr>
                <w:sz w:val="18"/>
              </w:rPr>
            </w:pPr>
            <w:r>
              <w:rPr>
                <w:rFonts w:ascii="仿宋" w:hAnsi="仿宋" w:eastAsia="仿宋"/>
                <w:spacing w:val="9"/>
                <w:sz w:val="18"/>
              </w:rPr>
              <w:t xml:space="preserve">① </w:t>
            </w:r>
            <w:r>
              <w:rPr>
                <w:spacing w:val="10"/>
                <w:sz w:val="18"/>
              </w:rPr>
              <w:t>计算、申报和缴纳增值</w:t>
            </w:r>
            <w:r>
              <w:rPr>
                <w:sz w:val="18"/>
              </w:rPr>
              <w:t>税及其附加税费。</w:t>
            </w:r>
          </w:p>
          <w:p w14:paraId="7F6E02FB">
            <w:pPr>
              <w:pStyle w:val="17"/>
              <w:spacing w:line="201" w:lineRule="exact"/>
              <w:ind w:left="299"/>
              <w:rPr>
                <w:sz w:val="18"/>
              </w:rPr>
            </w:pPr>
            <w:r>
              <w:rPr>
                <w:spacing w:val="10"/>
                <w:sz w:val="18"/>
              </w:rPr>
              <w:t>② 计算、申报和缴纳企业</w:t>
            </w:r>
          </w:p>
          <w:p w14:paraId="6E8D9893">
            <w:pPr>
              <w:pStyle w:val="17"/>
              <w:spacing w:before="89"/>
              <w:ind w:left="113"/>
              <w:rPr>
                <w:sz w:val="18"/>
              </w:rPr>
            </w:pPr>
            <w:r>
              <w:rPr>
                <w:sz w:val="18"/>
              </w:rPr>
              <w:t>消费税。</w:t>
            </w:r>
          </w:p>
          <w:p w14:paraId="3EFC547E">
            <w:pPr>
              <w:pStyle w:val="17"/>
              <w:spacing w:before="90" w:line="333" w:lineRule="auto"/>
              <w:ind w:left="113" w:right="98" w:firstLine="186"/>
              <w:rPr>
                <w:sz w:val="18"/>
              </w:rPr>
            </w:pPr>
            <w:r>
              <w:rPr>
                <w:spacing w:val="7"/>
                <w:sz w:val="18"/>
              </w:rPr>
              <w:t>③ 计算、申报和缴纳企业</w:t>
            </w:r>
            <w:r>
              <w:rPr>
                <w:sz w:val="18"/>
              </w:rPr>
              <w:t>所得税。</w:t>
            </w:r>
          </w:p>
          <w:p w14:paraId="4ACF68F0">
            <w:pPr>
              <w:pStyle w:val="17"/>
              <w:spacing w:line="333" w:lineRule="auto"/>
              <w:ind w:left="113" w:right="98" w:firstLine="186"/>
              <w:rPr>
                <w:sz w:val="18"/>
              </w:rPr>
            </w:pPr>
            <w:r>
              <w:rPr>
                <w:spacing w:val="7"/>
                <w:sz w:val="18"/>
              </w:rPr>
              <w:t>④ 计算、申报和缴纳代扣</w:t>
            </w:r>
            <w:r>
              <w:rPr>
                <w:sz w:val="18"/>
              </w:rPr>
              <w:t>代缴的个人所得税。</w:t>
            </w:r>
          </w:p>
          <w:p w14:paraId="6FC7FEE5">
            <w:pPr>
              <w:pStyle w:val="17"/>
              <w:spacing w:line="331" w:lineRule="auto"/>
              <w:ind w:left="113" w:right="98" w:firstLine="186"/>
              <w:rPr>
                <w:sz w:val="18"/>
              </w:rPr>
            </w:pPr>
            <w:r>
              <w:rPr>
                <w:spacing w:val="7"/>
                <w:sz w:val="18"/>
              </w:rPr>
              <w:t>⑤ 计算、申报和缴纳企业</w:t>
            </w:r>
            <w:r>
              <w:rPr>
                <w:sz w:val="18"/>
              </w:rPr>
              <w:t>其他税金。</w:t>
            </w:r>
          </w:p>
          <w:p w14:paraId="6B67C8C2">
            <w:pPr>
              <w:pStyle w:val="17"/>
              <w:spacing w:before="1" w:line="333" w:lineRule="auto"/>
              <w:ind w:left="113" w:right="98" w:firstLine="186"/>
              <w:rPr>
                <w:sz w:val="18"/>
              </w:rPr>
            </w:pPr>
            <w:r>
              <w:rPr>
                <w:spacing w:val="7"/>
                <w:sz w:val="18"/>
              </w:rPr>
              <w:t>⑥ 计算、申报和缴纳社保</w:t>
            </w:r>
            <w:r>
              <w:rPr>
                <w:sz w:val="18"/>
              </w:rPr>
              <w:t>金。</w:t>
            </w:r>
          </w:p>
          <w:p w14:paraId="6585B5EF">
            <w:pPr>
              <w:pStyle w:val="17"/>
              <w:spacing w:before="31"/>
              <w:ind w:left="299"/>
              <w:rPr>
                <w:sz w:val="18"/>
              </w:rPr>
            </w:pPr>
            <w:r>
              <w:rPr>
                <w:spacing w:val="10"/>
                <w:sz w:val="18"/>
              </w:rPr>
              <w:t>⑦ 计算、申报和缴纳住房</w:t>
            </w:r>
          </w:p>
          <w:p w14:paraId="13947F3B">
            <w:pPr>
              <w:pStyle w:val="17"/>
              <w:spacing w:before="80" w:line="213" w:lineRule="exact"/>
              <w:ind w:left="113" w:leftChars="0"/>
              <w:rPr>
                <w:rFonts w:hint="eastAsia" w:ascii="仿宋" w:hAnsi="仿宋" w:eastAsia="仿宋"/>
                <w:spacing w:val="21"/>
                <w:sz w:val="18"/>
                <w:lang w:val="en-US" w:eastAsia="zh-CN"/>
              </w:rPr>
            </w:pPr>
            <w:r>
              <w:rPr>
                <w:sz w:val="18"/>
              </w:rPr>
              <w:t>公积金</w:t>
            </w:r>
          </w:p>
        </w:tc>
        <w:tc>
          <w:tcPr>
            <w:tcW w:w="4056" w:type="dxa"/>
            <w:tcBorders>
              <w:top w:val="single" w:color="000000" w:sz="4" w:space="0"/>
              <w:left w:val="single" w:color="000000" w:sz="4" w:space="0"/>
              <w:bottom w:val="single" w:color="000000" w:sz="4" w:space="0"/>
            </w:tcBorders>
            <w:shd w:val="clear" w:color="auto" w:fill="auto"/>
            <w:vAlign w:val="top"/>
          </w:tcPr>
          <w:p w14:paraId="7B90686F">
            <w:pPr>
              <w:pStyle w:val="17"/>
              <w:rPr>
                <w:sz w:val="18"/>
              </w:rPr>
            </w:pPr>
          </w:p>
          <w:p w14:paraId="3FD026A6">
            <w:pPr>
              <w:pStyle w:val="17"/>
              <w:rPr>
                <w:sz w:val="18"/>
              </w:rPr>
            </w:pPr>
          </w:p>
          <w:p w14:paraId="48530C31">
            <w:pPr>
              <w:pStyle w:val="17"/>
              <w:spacing w:before="130" w:line="321" w:lineRule="auto"/>
              <w:ind w:left="108" w:right="75" w:firstLine="186"/>
              <w:rPr>
                <w:sz w:val="18"/>
              </w:rPr>
            </w:pPr>
            <w:r>
              <w:rPr>
                <w:rFonts w:ascii="仿宋" w:hAnsi="仿宋" w:eastAsia="仿宋"/>
                <w:spacing w:val="17"/>
                <w:sz w:val="18"/>
              </w:rPr>
              <w:t xml:space="preserve">① </w:t>
            </w:r>
            <w:r>
              <w:rPr>
                <w:spacing w:val="15"/>
                <w:sz w:val="18"/>
              </w:rPr>
              <w:t>熟悉电子发票服务平台和电子税务局平</w:t>
            </w:r>
            <w:r>
              <w:rPr>
                <w:sz w:val="18"/>
              </w:rPr>
              <w:t>台。</w:t>
            </w:r>
          </w:p>
          <w:p w14:paraId="5335E5A3">
            <w:pPr>
              <w:pStyle w:val="17"/>
              <w:spacing w:before="2"/>
              <w:ind w:left="294"/>
              <w:rPr>
                <w:sz w:val="18"/>
              </w:rPr>
            </w:pPr>
            <w:r>
              <w:rPr>
                <w:rFonts w:ascii="仿宋" w:hAnsi="仿宋" w:eastAsia="仿宋"/>
                <w:spacing w:val="35"/>
                <w:sz w:val="18"/>
              </w:rPr>
              <w:t xml:space="preserve">② </w:t>
            </w:r>
            <w:r>
              <w:rPr>
                <w:sz w:val="18"/>
              </w:rPr>
              <w:t>能够正确安装自然人税收管理系统。</w:t>
            </w:r>
          </w:p>
          <w:p w14:paraId="575083E3">
            <w:pPr>
              <w:pStyle w:val="17"/>
              <w:spacing w:before="79"/>
              <w:ind w:left="294"/>
              <w:rPr>
                <w:sz w:val="18"/>
              </w:rPr>
            </w:pPr>
            <w:r>
              <w:rPr>
                <w:rFonts w:ascii="仿宋" w:hAnsi="仿宋" w:eastAsia="仿宋"/>
                <w:spacing w:val="37"/>
                <w:sz w:val="18"/>
              </w:rPr>
              <w:t xml:space="preserve">③ </w:t>
            </w:r>
            <w:r>
              <w:rPr>
                <w:sz w:val="18"/>
              </w:rPr>
              <w:t>能够准确计算代扣代缴的个人所得税额。</w:t>
            </w:r>
          </w:p>
          <w:p w14:paraId="1CCC4CEE">
            <w:pPr>
              <w:pStyle w:val="17"/>
              <w:spacing w:before="79" w:line="324" w:lineRule="auto"/>
              <w:ind w:left="108" w:right="91" w:firstLine="186"/>
              <w:rPr>
                <w:sz w:val="18"/>
              </w:rPr>
            </w:pPr>
            <w:r>
              <w:rPr>
                <w:rFonts w:ascii="仿宋" w:hAnsi="仿宋" w:eastAsia="仿宋"/>
                <w:spacing w:val="5"/>
                <w:sz w:val="18"/>
              </w:rPr>
              <w:t xml:space="preserve">④ </w:t>
            </w:r>
            <w:r>
              <w:rPr>
                <w:sz w:val="18"/>
              </w:rPr>
              <w:t>会编制社保缴费月报表和社保参保情况月报表。</w:t>
            </w:r>
          </w:p>
          <w:p w14:paraId="58FF1775">
            <w:pPr>
              <w:pStyle w:val="17"/>
              <w:spacing w:line="321" w:lineRule="auto"/>
              <w:ind w:left="108" w:right="91" w:firstLine="186"/>
              <w:rPr>
                <w:sz w:val="18"/>
              </w:rPr>
            </w:pPr>
            <w:r>
              <w:rPr>
                <w:rFonts w:ascii="仿宋" w:hAnsi="仿宋" w:eastAsia="仿宋"/>
                <w:spacing w:val="5"/>
                <w:sz w:val="18"/>
              </w:rPr>
              <w:t xml:space="preserve">⑤ </w:t>
            </w:r>
            <w:r>
              <w:rPr>
                <w:sz w:val="18"/>
              </w:rPr>
              <w:t>会办理住房公积金缴存基数、缴存比例的调整和缓缴操作。</w:t>
            </w:r>
          </w:p>
          <w:p w14:paraId="09014273">
            <w:pPr>
              <w:pStyle w:val="17"/>
              <w:spacing w:line="321" w:lineRule="auto"/>
              <w:ind w:left="108" w:right="91" w:firstLine="186"/>
              <w:rPr>
                <w:sz w:val="18"/>
              </w:rPr>
            </w:pPr>
            <w:r>
              <w:rPr>
                <w:rFonts w:ascii="仿宋" w:hAnsi="仿宋" w:eastAsia="仿宋"/>
                <w:spacing w:val="5"/>
                <w:sz w:val="18"/>
              </w:rPr>
              <w:t xml:space="preserve">⑥ </w:t>
            </w:r>
            <w:r>
              <w:rPr>
                <w:sz w:val="18"/>
              </w:rPr>
              <w:t>能够熟练操作电子税务局主要税费申报及缴纳。</w:t>
            </w:r>
          </w:p>
          <w:p w14:paraId="49E3F9B5">
            <w:pPr>
              <w:pStyle w:val="17"/>
              <w:spacing w:before="1"/>
              <w:ind w:left="294" w:leftChars="0"/>
              <w:rPr>
                <w:sz w:val="18"/>
              </w:rPr>
            </w:pPr>
            <w:r>
              <w:rPr>
                <w:rFonts w:ascii="仿宋" w:hAnsi="仿宋" w:eastAsia="仿宋"/>
                <w:spacing w:val="24"/>
                <w:sz w:val="18"/>
              </w:rPr>
              <w:t xml:space="preserve">⑦ </w:t>
            </w:r>
            <w:r>
              <w:rPr>
                <w:spacing w:val="3"/>
                <w:sz w:val="18"/>
              </w:rPr>
              <w:t>了解企业税费申报</w:t>
            </w:r>
            <w:r>
              <w:rPr>
                <w:rFonts w:ascii="Times New Roman" w:hAnsi="Times New Roman" w:eastAsia="Times New Roman"/>
                <w:sz w:val="18"/>
              </w:rPr>
              <w:t>RPA</w:t>
            </w:r>
            <w:r>
              <w:rPr>
                <w:rFonts w:ascii="Times New Roman" w:hAnsi="Times New Roman" w:eastAsia="Times New Roman"/>
                <w:spacing w:val="-6"/>
                <w:sz w:val="18"/>
              </w:rPr>
              <w:t xml:space="preserve"> </w:t>
            </w:r>
            <w:r>
              <w:rPr>
                <w:sz w:val="18"/>
              </w:rPr>
              <w:t>智能工具应用场景</w:t>
            </w:r>
          </w:p>
        </w:tc>
      </w:tr>
      <w:tr w14:paraId="58D9A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0" w:hRule="atLeast"/>
        </w:trPr>
        <w:tc>
          <w:tcPr>
            <w:tcW w:w="624" w:type="dxa"/>
            <w:tcBorders>
              <w:top w:val="single" w:color="000000" w:sz="4" w:space="0"/>
              <w:bottom w:val="single" w:color="000000" w:sz="4" w:space="0"/>
              <w:right w:val="single" w:color="000000" w:sz="4" w:space="0"/>
            </w:tcBorders>
            <w:shd w:val="clear" w:color="auto" w:fill="auto"/>
            <w:vAlign w:val="top"/>
          </w:tcPr>
          <w:p w14:paraId="79EC8006">
            <w:pPr>
              <w:pStyle w:val="17"/>
              <w:rPr>
                <w:sz w:val="20"/>
              </w:rPr>
            </w:pPr>
          </w:p>
          <w:p w14:paraId="3DE26295">
            <w:pPr>
              <w:pStyle w:val="17"/>
              <w:rPr>
                <w:sz w:val="20"/>
              </w:rPr>
            </w:pPr>
          </w:p>
          <w:p w14:paraId="4D01C10F">
            <w:pPr>
              <w:pStyle w:val="17"/>
              <w:rPr>
                <w:sz w:val="20"/>
              </w:rPr>
            </w:pPr>
          </w:p>
          <w:p w14:paraId="29F48302">
            <w:pPr>
              <w:pStyle w:val="17"/>
              <w:rPr>
                <w:sz w:val="20"/>
              </w:rPr>
            </w:pPr>
          </w:p>
          <w:p w14:paraId="0F9F5379">
            <w:pPr>
              <w:pStyle w:val="17"/>
              <w:spacing w:before="158"/>
              <w:ind w:left="15" w:leftChars="0"/>
              <w:jc w:val="center"/>
              <w:rPr>
                <w:rFonts w:hint="eastAsia" w:ascii="Times New Roman" w:hAnsi="宋体" w:eastAsia="宋体" w:cs="宋体"/>
                <w:kern w:val="2"/>
                <w:sz w:val="18"/>
                <w:szCs w:val="22"/>
                <w:lang w:val="en-US" w:eastAsia="zh-CN" w:bidi="ar-SA"/>
              </w:rPr>
            </w:pPr>
            <w:r>
              <w:rPr>
                <w:rFonts w:hint="eastAsia" w:ascii="Times New Roman"/>
                <w:sz w:val="18"/>
                <w:lang w:val="en-US" w:eastAsia="zh-CN"/>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2AA670EE">
            <w:pPr>
              <w:pStyle w:val="17"/>
              <w:rPr>
                <w:sz w:val="18"/>
              </w:rPr>
            </w:pPr>
          </w:p>
          <w:p w14:paraId="2A396302">
            <w:pPr>
              <w:pStyle w:val="17"/>
              <w:rPr>
                <w:sz w:val="18"/>
              </w:rPr>
            </w:pPr>
          </w:p>
          <w:p w14:paraId="770D7962">
            <w:pPr>
              <w:pStyle w:val="17"/>
              <w:rPr>
                <w:sz w:val="18"/>
              </w:rPr>
            </w:pPr>
          </w:p>
          <w:p w14:paraId="3431DBE2">
            <w:pPr>
              <w:pStyle w:val="17"/>
              <w:rPr>
                <w:sz w:val="18"/>
              </w:rPr>
            </w:pPr>
          </w:p>
          <w:p w14:paraId="7584376A">
            <w:pPr>
              <w:pStyle w:val="17"/>
              <w:spacing w:before="8"/>
              <w:rPr>
                <w:sz w:val="18"/>
              </w:rPr>
            </w:pPr>
          </w:p>
          <w:p w14:paraId="36FDCF4A">
            <w:pPr>
              <w:pStyle w:val="17"/>
              <w:ind w:left="144" w:leftChars="0" w:right="126" w:rightChars="0"/>
              <w:jc w:val="center"/>
              <w:rPr>
                <w:rFonts w:ascii="宋体" w:hAnsi="宋体" w:eastAsia="宋体" w:cs="宋体"/>
                <w:kern w:val="2"/>
                <w:sz w:val="18"/>
                <w:szCs w:val="22"/>
                <w:lang w:val="en-US" w:eastAsia="zh-CN" w:bidi="ar-SA"/>
              </w:rPr>
            </w:pPr>
            <w:r>
              <w:rPr>
                <w:sz w:val="18"/>
              </w:rPr>
              <w:t>财税代理服务</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top"/>
          </w:tcPr>
          <w:p w14:paraId="1B153C0D">
            <w:pPr>
              <w:pStyle w:val="17"/>
              <w:rPr>
                <w:sz w:val="18"/>
              </w:rPr>
            </w:pPr>
          </w:p>
          <w:p w14:paraId="1AEB2CAF">
            <w:pPr>
              <w:pStyle w:val="17"/>
              <w:ind w:left="298"/>
              <w:rPr>
                <w:sz w:val="18"/>
              </w:rPr>
            </w:pPr>
            <w:r>
              <w:rPr>
                <w:rFonts w:ascii="仿宋" w:hAnsi="仿宋" w:eastAsia="仿宋"/>
                <w:spacing w:val="19"/>
                <w:sz w:val="18"/>
              </w:rPr>
              <w:t xml:space="preserve">① </w:t>
            </w:r>
            <w:r>
              <w:rPr>
                <w:sz w:val="18"/>
              </w:rPr>
              <w:t>拓展和维护客户。</w:t>
            </w:r>
          </w:p>
          <w:p w14:paraId="3433793C">
            <w:pPr>
              <w:pStyle w:val="17"/>
              <w:spacing w:before="81"/>
              <w:ind w:left="299"/>
              <w:rPr>
                <w:sz w:val="18"/>
              </w:rPr>
            </w:pPr>
            <w:r>
              <w:rPr>
                <w:rFonts w:ascii="仿宋" w:hAnsi="仿宋" w:eastAsia="仿宋"/>
                <w:spacing w:val="25"/>
                <w:sz w:val="18"/>
              </w:rPr>
              <w:t xml:space="preserve">② </w:t>
            </w:r>
            <w:r>
              <w:rPr>
                <w:sz w:val="18"/>
              </w:rPr>
              <w:t>代理记账事务。</w:t>
            </w:r>
          </w:p>
          <w:p w14:paraId="2E0E26E0">
            <w:pPr>
              <w:pStyle w:val="17"/>
              <w:spacing w:before="79"/>
              <w:ind w:left="299"/>
              <w:rPr>
                <w:sz w:val="18"/>
              </w:rPr>
            </w:pPr>
            <w:r>
              <w:rPr>
                <w:rFonts w:ascii="仿宋" w:hAnsi="仿宋" w:eastAsia="仿宋"/>
                <w:spacing w:val="25"/>
                <w:sz w:val="18"/>
              </w:rPr>
              <w:t xml:space="preserve">③ </w:t>
            </w:r>
            <w:r>
              <w:rPr>
                <w:sz w:val="18"/>
              </w:rPr>
              <w:t>代理涉税事务。</w:t>
            </w:r>
          </w:p>
          <w:p w14:paraId="3C4616DB">
            <w:pPr>
              <w:pStyle w:val="17"/>
              <w:spacing w:before="79" w:line="324" w:lineRule="auto"/>
              <w:ind w:left="113" w:right="85" w:firstLine="186"/>
              <w:rPr>
                <w:sz w:val="18"/>
              </w:rPr>
            </w:pPr>
            <w:r>
              <w:rPr>
                <w:rFonts w:ascii="仿宋" w:hAnsi="仿宋" w:eastAsia="仿宋"/>
                <w:spacing w:val="9"/>
                <w:sz w:val="18"/>
              </w:rPr>
              <w:t xml:space="preserve">④ </w:t>
            </w:r>
            <w:r>
              <w:rPr>
                <w:spacing w:val="10"/>
                <w:sz w:val="18"/>
              </w:rPr>
              <w:t>代理工商、税务注册登</w:t>
            </w:r>
            <w:r>
              <w:rPr>
                <w:sz w:val="18"/>
              </w:rPr>
              <w:t>记事务。</w:t>
            </w:r>
          </w:p>
          <w:p w14:paraId="5D0078C5">
            <w:pPr>
              <w:pStyle w:val="17"/>
              <w:spacing w:line="228" w:lineRule="exact"/>
              <w:ind w:left="290"/>
              <w:rPr>
                <w:sz w:val="18"/>
              </w:rPr>
            </w:pPr>
            <w:r>
              <w:rPr>
                <w:rFonts w:ascii="仿宋" w:hAnsi="仿宋" w:eastAsia="仿宋"/>
                <w:spacing w:val="-12"/>
                <w:sz w:val="18"/>
              </w:rPr>
              <w:t xml:space="preserve">⑤ </w:t>
            </w:r>
            <w:r>
              <w:rPr>
                <w:sz w:val="18"/>
              </w:rPr>
              <w:t>代理银行账户管理事务。</w:t>
            </w:r>
          </w:p>
          <w:p w14:paraId="32921830">
            <w:pPr>
              <w:pStyle w:val="17"/>
              <w:spacing w:before="79"/>
              <w:ind w:left="299" w:leftChars="0"/>
              <w:rPr>
                <w:rFonts w:ascii="宋体" w:hAnsi="宋体" w:eastAsia="宋体" w:cs="宋体"/>
                <w:kern w:val="2"/>
                <w:sz w:val="18"/>
                <w:szCs w:val="22"/>
                <w:lang w:val="en-US" w:eastAsia="zh-CN" w:bidi="ar-SA"/>
              </w:rPr>
            </w:pPr>
            <w:r>
              <w:rPr>
                <w:rFonts w:ascii="仿宋" w:hAnsi="仿宋" w:eastAsia="仿宋"/>
                <w:spacing w:val="19"/>
                <w:sz w:val="18"/>
              </w:rPr>
              <w:t xml:space="preserve">⑥ </w:t>
            </w:r>
            <w:r>
              <w:rPr>
                <w:sz w:val="18"/>
              </w:rPr>
              <w:t>代理资质申办事务</w:t>
            </w:r>
          </w:p>
        </w:tc>
        <w:tc>
          <w:tcPr>
            <w:tcW w:w="4056" w:type="dxa"/>
            <w:tcBorders>
              <w:top w:val="single" w:color="000000" w:sz="4" w:space="0"/>
              <w:left w:val="single" w:color="000000" w:sz="4" w:space="0"/>
              <w:bottom w:val="single" w:color="000000" w:sz="4" w:space="0"/>
            </w:tcBorders>
            <w:shd w:val="clear" w:color="auto" w:fill="auto"/>
            <w:vAlign w:val="top"/>
          </w:tcPr>
          <w:p w14:paraId="11D61FD0">
            <w:pPr>
              <w:pStyle w:val="17"/>
              <w:spacing w:before="76"/>
              <w:ind w:left="294"/>
              <w:rPr>
                <w:sz w:val="18"/>
              </w:rPr>
            </w:pPr>
            <w:r>
              <w:rPr>
                <w:rFonts w:ascii="仿宋" w:hAnsi="仿宋" w:eastAsia="仿宋"/>
                <w:spacing w:val="-3"/>
                <w:sz w:val="18"/>
              </w:rPr>
              <w:t xml:space="preserve">① </w:t>
            </w:r>
            <w:r>
              <w:rPr>
                <w:sz w:val="18"/>
              </w:rPr>
              <w:t>了解常用客户管理系统（</w:t>
            </w:r>
            <w:r>
              <w:rPr>
                <w:rFonts w:ascii="Times New Roman" w:hAnsi="Times New Roman" w:eastAsia="Times New Roman"/>
                <w:sz w:val="18"/>
              </w:rPr>
              <w:t>CRM</w:t>
            </w:r>
            <w:r>
              <w:rPr>
                <w:sz w:val="18"/>
              </w:rPr>
              <w:t>）基本功能。</w:t>
            </w:r>
          </w:p>
          <w:p w14:paraId="1F858DC8">
            <w:pPr>
              <w:pStyle w:val="17"/>
              <w:spacing w:before="81" w:line="321" w:lineRule="auto"/>
              <w:ind w:left="108" w:right="91" w:firstLine="186"/>
              <w:rPr>
                <w:sz w:val="18"/>
              </w:rPr>
            </w:pPr>
            <w:r>
              <w:rPr>
                <w:rFonts w:ascii="仿宋" w:hAnsi="仿宋" w:eastAsia="仿宋"/>
                <w:spacing w:val="5"/>
                <w:sz w:val="18"/>
              </w:rPr>
              <w:t xml:space="preserve">② </w:t>
            </w:r>
            <w:r>
              <w:rPr>
                <w:sz w:val="18"/>
              </w:rPr>
              <w:t>会办理票据收件确认、编号扫描、票据整理和凭证装订事务。</w:t>
            </w:r>
          </w:p>
          <w:p w14:paraId="4B2D6A64">
            <w:pPr>
              <w:pStyle w:val="17"/>
              <w:spacing w:before="1"/>
              <w:ind w:left="293"/>
              <w:rPr>
                <w:sz w:val="18"/>
              </w:rPr>
            </w:pPr>
            <w:r>
              <w:rPr>
                <w:rFonts w:ascii="仿宋" w:hAnsi="仿宋" w:eastAsia="仿宋"/>
                <w:spacing w:val="31"/>
                <w:sz w:val="18"/>
              </w:rPr>
              <w:t xml:space="preserve">③ </w:t>
            </w:r>
            <w:r>
              <w:rPr>
                <w:sz w:val="18"/>
              </w:rPr>
              <w:t>会应用代账系统进行代理记账。</w:t>
            </w:r>
          </w:p>
          <w:p w14:paraId="40DB906A">
            <w:pPr>
              <w:pStyle w:val="17"/>
              <w:spacing w:before="80"/>
              <w:ind w:left="293"/>
              <w:rPr>
                <w:sz w:val="18"/>
              </w:rPr>
            </w:pPr>
            <w:r>
              <w:rPr>
                <w:rFonts w:ascii="仿宋" w:hAnsi="仿宋" w:eastAsia="仿宋"/>
                <w:spacing w:val="25"/>
                <w:sz w:val="18"/>
              </w:rPr>
              <w:t xml:space="preserve">④ </w:t>
            </w:r>
            <w:r>
              <w:rPr>
                <w:sz w:val="18"/>
              </w:rPr>
              <w:t>会办理主要税费网上申报。</w:t>
            </w:r>
          </w:p>
          <w:p w14:paraId="60402B0C">
            <w:pPr>
              <w:pStyle w:val="17"/>
              <w:spacing w:before="79" w:line="321" w:lineRule="auto"/>
              <w:ind w:left="107" w:right="93" w:firstLine="186"/>
              <w:rPr>
                <w:sz w:val="18"/>
              </w:rPr>
            </w:pPr>
            <w:r>
              <w:rPr>
                <w:rFonts w:ascii="仿宋" w:hAnsi="仿宋" w:eastAsia="仿宋"/>
                <w:spacing w:val="4"/>
                <w:sz w:val="18"/>
              </w:rPr>
              <w:t xml:space="preserve">⑤ </w:t>
            </w:r>
            <w:r>
              <w:rPr>
                <w:sz w:val="18"/>
              </w:rPr>
              <w:t>会办理工商注册、变更和注销及工商年报公示事务。</w:t>
            </w:r>
          </w:p>
          <w:p w14:paraId="01902F1E">
            <w:pPr>
              <w:pStyle w:val="17"/>
              <w:spacing w:before="2" w:line="213" w:lineRule="exact"/>
              <w:ind w:left="293" w:leftChars="0"/>
              <w:rPr>
                <w:rFonts w:ascii="宋体" w:hAnsi="宋体" w:eastAsia="宋体" w:cs="宋体"/>
                <w:kern w:val="2"/>
                <w:sz w:val="18"/>
                <w:szCs w:val="22"/>
                <w:lang w:val="en-US" w:eastAsia="zh-CN" w:bidi="ar-SA"/>
              </w:rPr>
            </w:pPr>
            <w:r>
              <w:rPr>
                <w:rFonts w:ascii="仿宋" w:hAnsi="仿宋" w:eastAsia="仿宋"/>
                <w:spacing w:val="33"/>
                <w:sz w:val="18"/>
              </w:rPr>
              <w:t xml:space="preserve">⑥ </w:t>
            </w:r>
            <w:r>
              <w:rPr>
                <w:sz w:val="18"/>
              </w:rPr>
              <w:t>会办理税务登记、变更、注销事务</w:t>
            </w:r>
          </w:p>
        </w:tc>
      </w:tr>
      <w:tr w14:paraId="281E8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9" w:hRule="atLeast"/>
        </w:trPr>
        <w:tc>
          <w:tcPr>
            <w:tcW w:w="624" w:type="dxa"/>
            <w:tcBorders>
              <w:top w:val="single" w:color="000000" w:sz="4" w:space="0"/>
              <w:bottom w:val="single" w:color="000000" w:sz="4" w:space="0"/>
              <w:right w:val="single" w:color="000000" w:sz="4" w:space="0"/>
            </w:tcBorders>
            <w:shd w:val="clear" w:color="auto" w:fill="auto"/>
            <w:vAlign w:val="top"/>
          </w:tcPr>
          <w:p w14:paraId="16DA4D04">
            <w:pPr>
              <w:pStyle w:val="17"/>
              <w:rPr>
                <w:sz w:val="20"/>
              </w:rPr>
            </w:pPr>
          </w:p>
          <w:p w14:paraId="39030E0F">
            <w:pPr>
              <w:pStyle w:val="17"/>
              <w:rPr>
                <w:sz w:val="20"/>
              </w:rPr>
            </w:pPr>
          </w:p>
          <w:p w14:paraId="2C2185EC">
            <w:pPr>
              <w:pStyle w:val="17"/>
              <w:rPr>
                <w:sz w:val="20"/>
              </w:rPr>
            </w:pPr>
          </w:p>
          <w:p w14:paraId="3E5ACB34">
            <w:pPr>
              <w:pStyle w:val="17"/>
              <w:rPr>
                <w:sz w:val="20"/>
              </w:rPr>
            </w:pPr>
          </w:p>
          <w:p w14:paraId="28943586">
            <w:pPr>
              <w:pStyle w:val="17"/>
              <w:rPr>
                <w:sz w:val="20"/>
              </w:rPr>
            </w:pPr>
          </w:p>
          <w:p w14:paraId="359F8DB7">
            <w:pPr>
              <w:pStyle w:val="17"/>
              <w:rPr>
                <w:sz w:val="20"/>
              </w:rPr>
            </w:pPr>
          </w:p>
          <w:p w14:paraId="7E6B6E49">
            <w:pPr>
              <w:pStyle w:val="17"/>
              <w:rPr>
                <w:sz w:val="20"/>
              </w:rPr>
            </w:pPr>
          </w:p>
          <w:p w14:paraId="7EA1D818">
            <w:pPr>
              <w:pStyle w:val="17"/>
              <w:rPr>
                <w:sz w:val="20"/>
              </w:rPr>
            </w:pPr>
          </w:p>
          <w:p w14:paraId="59321646">
            <w:pPr>
              <w:pStyle w:val="17"/>
              <w:rPr>
                <w:sz w:val="20"/>
              </w:rPr>
            </w:pPr>
          </w:p>
          <w:p w14:paraId="72469E4D">
            <w:pPr>
              <w:pStyle w:val="17"/>
              <w:spacing w:before="8"/>
              <w:rPr>
                <w:sz w:val="14"/>
              </w:rPr>
            </w:pPr>
          </w:p>
          <w:p w14:paraId="28A838AF">
            <w:pPr>
              <w:pStyle w:val="17"/>
              <w:spacing w:before="1"/>
              <w:ind w:left="15" w:leftChars="0"/>
              <w:jc w:val="center"/>
              <w:rPr>
                <w:rFonts w:hint="eastAsia" w:ascii="Times New Roman" w:hAnsi="宋体" w:eastAsia="宋体" w:cs="宋体"/>
                <w:kern w:val="2"/>
                <w:sz w:val="18"/>
                <w:szCs w:val="22"/>
                <w:lang w:val="en-US" w:eastAsia="zh-CN" w:bidi="ar-SA"/>
              </w:rPr>
            </w:pPr>
            <w:r>
              <w:rPr>
                <w:rFonts w:hint="eastAsia" w:ascii="Times New Roman"/>
                <w:sz w:val="18"/>
                <w:lang w:val="en-US" w:eastAsia="zh-CN"/>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top"/>
          </w:tcPr>
          <w:p w14:paraId="0860CEBB">
            <w:pPr>
              <w:pStyle w:val="17"/>
              <w:rPr>
                <w:sz w:val="18"/>
              </w:rPr>
            </w:pPr>
          </w:p>
          <w:p w14:paraId="25E5E9C3">
            <w:pPr>
              <w:pStyle w:val="17"/>
              <w:rPr>
                <w:sz w:val="18"/>
              </w:rPr>
            </w:pPr>
          </w:p>
          <w:p w14:paraId="0A6E2A90">
            <w:pPr>
              <w:pStyle w:val="17"/>
              <w:rPr>
                <w:sz w:val="18"/>
              </w:rPr>
            </w:pPr>
          </w:p>
          <w:p w14:paraId="1BFB9B3C">
            <w:pPr>
              <w:pStyle w:val="17"/>
              <w:rPr>
                <w:sz w:val="18"/>
              </w:rPr>
            </w:pPr>
          </w:p>
          <w:p w14:paraId="1E1990F6">
            <w:pPr>
              <w:pStyle w:val="17"/>
              <w:rPr>
                <w:sz w:val="18"/>
              </w:rPr>
            </w:pPr>
          </w:p>
          <w:p w14:paraId="19CA7438">
            <w:pPr>
              <w:pStyle w:val="17"/>
              <w:rPr>
                <w:sz w:val="18"/>
              </w:rPr>
            </w:pPr>
          </w:p>
          <w:p w14:paraId="2752BC7A">
            <w:pPr>
              <w:pStyle w:val="17"/>
              <w:rPr>
                <w:sz w:val="18"/>
              </w:rPr>
            </w:pPr>
          </w:p>
          <w:p w14:paraId="0EF68BA8">
            <w:pPr>
              <w:pStyle w:val="17"/>
              <w:rPr>
                <w:sz w:val="18"/>
              </w:rPr>
            </w:pPr>
          </w:p>
          <w:p w14:paraId="2CA30A6E">
            <w:pPr>
              <w:pStyle w:val="17"/>
              <w:rPr>
                <w:sz w:val="18"/>
              </w:rPr>
            </w:pPr>
          </w:p>
          <w:p w14:paraId="3EB4DF18">
            <w:pPr>
              <w:pStyle w:val="17"/>
              <w:spacing w:before="6"/>
              <w:rPr>
                <w:sz w:val="19"/>
              </w:rPr>
            </w:pPr>
          </w:p>
          <w:p w14:paraId="22B2DF23">
            <w:pPr>
              <w:pStyle w:val="17"/>
              <w:spacing w:line="333" w:lineRule="auto"/>
              <w:ind w:left="518" w:leftChars="0" w:right="125" w:rightChars="0" w:hanging="372" w:firstLineChars="0"/>
              <w:rPr>
                <w:rFonts w:ascii="宋体" w:hAnsi="宋体" w:eastAsia="宋体" w:cs="宋体"/>
                <w:kern w:val="2"/>
                <w:sz w:val="18"/>
                <w:szCs w:val="22"/>
                <w:lang w:val="en-US" w:eastAsia="zh-CN" w:bidi="ar-SA"/>
              </w:rPr>
            </w:pPr>
            <w:r>
              <w:rPr>
                <w:sz w:val="18"/>
              </w:rPr>
              <w:t>会计信息系统应用</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top"/>
          </w:tcPr>
          <w:p w14:paraId="19A9C494">
            <w:pPr>
              <w:pStyle w:val="17"/>
              <w:spacing w:before="64" w:line="319" w:lineRule="auto"/>
              <w:ind w:left="113" w:right="85" w:firstLine="186"/>
              <w:jc w:val="both"/>
              <w:rPr>
                <w:sz w:val="18"/>
              </w:rPr>
            </w:pPr>
            <w:r>
              <w:rPr>
                <w:rFonts w:ascii="仿宋" w:hAnsi="仿宋" w:eastAsia="仿宋"/>
                <w:spacing w:val="9"/>
                <w:sz w:val="18"/>
              </w:rPr>
              <w:t xml:space="preserve">① </w:t>
            </w:r>
            <w:r>
              <w:rPr>
                <w:spacing w:val="10"/>
                <w:sz w:val="18"/>
              </w:rPr>
              <w:t>收集票据，进行分理与</w:t>
            </w:r>
            <w:r>
              <w:rPr>
                <w:sz w:val="18"/>
              </w:rPr>
              <w:t>影像化扫描。</w:t>
            </w:r>
          </w:p>
          <w:p w14:paraId="061F460D">
            <w:pPr>
              <w:pStyle w:val="17"/>
              <w:spacing w:line="319" w:lineRule="auto"/>
              <w:ind w:left="113" w:right="31" w:firstLine="182"/>
              <w:jc w:val="both"/>
              <w:rPr>
                <w:sz w:val="18"/>
              </w:rPr>
            </w:pPr>
            <w:r>
              <w:rPr>
                <w:rFonts w:ascii="仿宋" w:hAnsi="仿宋" w:eastAsia="仿宋"/>
                <w:spacing w:val="4"/>
                <w:sz w:val="18"/>
              </w:rPr>
              <w:t xml:space="preserve">② </w:t>
            </w:r>
            <w:r>
              <w:rPr>
                <w:sz w:val="18"/>
              </w:rPr>
              <w:t>进行发票的合规性审核、真伪查验与发票勾选认证。</w:t>
            </w:r>
          </w:p>
          <w:p w14:paraId="3EE8FD74">
            <w:pPr>
              <w:pStyle w:val="17"/>
              <w:spacing w:line="319" w:lineRule="auto"/>
              <w:ind w:left="113" w:right="76" w:firstLine="186"/>
              <w:jc w:val="both"/>
              <w:rPr>
                <w:sz w:val="18"/>
              </w:rPr>
            </w:pPr>
            <w:r>
              <w:rPr>
                <w:rFonts w:ascii="仿宋" w:hAnsi="仿宋" w:eastAsia="仿宋"/>
                <w:spacing w:val="10"/>
                <w:sz w:val="18"/>
              </w:rPr>
              <w:t xml:space="preserve">③ </w:t>
            </w:r>
            <w:r>
              <w:rPr>
                <w:spacing w:val="12"/>
                <w:sz w:val="18"/>
              </w:rPr>
              <w:t>校验经销、代销、联营</w:t>
            </w:r>
            <w:r>
              <w:rPr>
                <w:sz w:val="18"/>
              </w:rPr>
              <w:t>发票，审核费用、银行结算、往来收支及总账核算等单据，</w:t>
            </w:r>
            <w:r>
              <w:rPr>
                <w:spacing w:val="-88"/>
                <w:sz w:val="18"/>
              </w:rPr>
              <w:t xml:space="preserve"> </w:t>
            </w:r>
            <w:r>
              <w:rPr>
                <w:sz w:val="18"/>
              </w:rPr>
              <w:t>完成记账工作。</w:t>
            </w:r>
          </w:p>
          <w:p w14:paraId="64A1EBFF">
            <w:pPr>
              <w:pStyle w:val="17"/>
              <w:spacing w:line="319" w:lineRule="auto"/>
              <w:ind w:left="113" w:right="76" w:firstLine="186"/>
              <w:jc w:val="both"/>
              <w:rPr>
                <w:sz w:val="18"/>
              </w:rPr>
            </w:pPr>
            <w:r>
              <w:rPr>
                <w:rFonts w:ascii="仿宋" w:hAnsi="仿宋" w:eastAsia="仿宋"/>
                <w:spacing w:val="10"/>
                <w:sz w:val="18"/>
              </w:rPr>
              <w:t xml:space="preserve">④ </w:t>
            </w:r>
            <w:r>
              <w:rPr>
                <w:spacing w:val="12"/>
                <w:sz w:val="18"/>
              </w:rPr>
              <w:t>开展银企、供应商应付</w:t>
            </w:r>
            <w:r>
              <w:rPr>
                <w:sz w:val="18"/>
              </w:rPr>
              <w:t>款、客户应收款等对账工作。</w:t>
            </w:r>
          </w:p>
          <w:p w14:paraId="55315EB0">
            <w:pPr>
              <w:pStyle w:val="17"/>
              <w:spacing w:line="319" w:lineRule="auto"/>
              <w:ind w:left="113" w:right="52" w:firstLine="186"/>
              <w:jc w:val="both"/>
              <w:rPr>
                <w:sz w:val="18"/>
              </w:rPr>
            </w:pPr>
            <w:r>
              <w:rPr>
                <w:rFonts w:ascii="仿宋" w:hAnsi="仿宋" w:eastAsia="仿宋"/>
                <w:spacing w:val="-12"/>
                <w:sz w:val="18"/>
              </w:rPr>
              <w:t xml:space="preserve">⑤ </w:t>
            </w:r>
            <w:r>
              <w:rPr>
                <w:spacing w:val="-1"/>
                <w:sz w:val="18"/>
              </w:rPr>
              <w:t>应用业务管理模块进行采</w:t>
            </w:r>
            <w:r>
              <w:rPr>
                <w:spacing w:val="-7"/>
                <w:sz w:val="18"/>
              </w:rPr>
              <w:t>购、销售、仓管、往来、薪资等</w:t>
            </w:r>
            <w:r>
              <w:rPr>
                <w:spacing w:val="-8"/>
                <w:sz w:val="18"/>
              </w:rPr>
              <w:t>业务日常记账监控和清账管理。</w:t>
            </w:r>
          </w:p>
          <w:p w14:paraId="730E42ED">
            <w:pPr>
              <w:pStyle w:val="17"/>
              <w:spacing w:line="319" w:lineRule="auto"/>
              <w:ind w:left="113" w:right="20" w:firstLine="186"/>
              <w:jc w:val="both"/>
              <w:rPr>
                <w:sz w:val="18"/>
              </w:rPr>
            </w:pPr>
            <w:r>
              <w:rPr>
                <w:rFonts w:ascii="仿宋" w:hAnsi="仿宋" w:eastAsia="仿宋"/>
                <w:spacing w:val="7"/>
                <w:sz w:val="18"/>
              </w:rPr>
              <w:t xml:space="preserve">⑥ </w:t>
            </w:r>
            <w:r>
              <w:rPr>
                <w:sz w:val="18"/>
              </w:rPr>
              <w:t>办理总账月末结账工作，</w:t>
            </w:r>
            <w:r>
              <w:rPr>
                <w:spacing w:val="-87"/>
                <w:sz w:val="18"/>
              </w:rPr>
              <w:t xml:space="preserve"> </w:t>
            </w:r>
            <w:r>
              <w:rPr>
                <w:sz w:val="18"/>
              </w:rPr>
              <w:t>编制会计报表。</w:t>
            </w:r>
          </w:p>
          <w:p w14:paraId="2EF71A5C">
            <w:pPr>
              <w:pStyle w:val="17"/>
              <w:spacing w:line="229" w:lineRule="exact"/>
              <w:ind w:left="299"/>
              <w:jc w:val="both"/>
              <w:rPr>
                <w:sz w:val="18"/>
              </w:rPr>
            </w:pPr>
            <w:r>
              <w:rPr>
                <w:rFonts w:ascii="仿宋" w:hAnsi="仿宋" w:eastAsia="仿宋"/>
                <w:spacing w:val="10"/>
                <w:sz w:val="18"/>
              </w:rPr>
              <w:t xml:space="preserve">⑦ </w:t>
            </w:r>
            <w:r>
              <w:rPr>
                <w:spacing w:val="12"/>
                <w:sz w:val="18"/>
              </w:rPr>
              <w:t>对接税务局平台，办理</w:t>
            </w:r>
          </w:p>
          <w:p w14:paraId="5428F0E8">
            <w:pPr>
              <w:pStyle w:val="17"/>
              <w:spacing w:before="66" w:line="221" w:lineRule="exact"/>
              <w:ind w:left="113" w:leftChars="0"/>
              <w:rPr>
                <w:rFonts w:ascii="宋体" w:hAnsi="宋体" w:eastAsia="宋体" w:cs="宋体"/>
                <w:kern w:val="2"/>
                <w:sz w:val="18"/>
                <w:szCs w:val="22"/>
                <w:lang w:val="en-US" w:eastAsia="zh-CN" w:bidi="ar-SA"/>
              </w:rPr>
            </w:pPr>
            <w:r>
              <w:rPr>
                <w:sz w:val="18"/>
              </w:rPr>
              <w:t>纳税申报</w:t>
            </w:r>
          </w:p>
        </w:tc>
        <w:tc>
          <w:tcPr>
            <w:tcW w:w="4056" w:type="dxa"/>
            <w:tcBorders>
              <w:top w:val="single" w:color="000000" w:sz="4" w:space="0"/>
              <w:left w:val="single" w:color="000000" w:sz="4" w:space="0"/>
              <w:bottom w:val="single" w:color="000000" w:sz="4" w:space="0"/>
            </w:tcBorders>
            <w:shd w:val="clear" w:color="auto" w:fill="auto"/>
            <w:vAlign w:val="top"/>
          </w:tcPr>
          <w:p w14:paraId="1204CC6B">
            <w:pPr>
              <w:pStyle w:val="17"/>
              <w:rPr>
                <w:sz w:val="18"/>
              </w:rPr>
            </w:pPr>
          </w:p>
          <w:p w14:paraId="54767DFA">
            <w:pPr>
              <w:pStyle w:val="17"/>
              <w:rPr>
                <w:sz w:val="18"/>
              </w:rPr>
            </w:pPr>
          </w:p>
          <w:p w14:paraId="3C13327B">
            <w:pPr>
              <w:pStyle w:val="17"/>
              <w:rPr>
                <w:sz w:val="18"/>
              </w:rPr>
            </w:pPr>
          </w:p>
          <w:p w14:paraId="6AE92770">
            <w:pPr>
              <w:pStyle w:val="17"/>
              <w:rPr>
                <w:sz w:val="18"/>
              </w:rPr>
            </w:pPr>
          </w:p>
          <w:p w14:paraId="046BC4EC">
            <w:pPr>
              <w:pStyle w:val="17"/>
              <w:rPr>
                <w:sz w:val="18"/>
              </w:rPr>
            </w:pPr>
          </w:p>
          <w:p w14:paraId="093E9AE3">
            <w:pPr>
              <w:pStyle w:val="17"/>
              <w:rPr>
                <w:sz w:val="18"/>
              </w:rPr>
            </w:pPr>
          </w:p>
          <w:p w14:paraId="1CC27A9E">
            <w:pPr>
              <w:pStyle w:val="17"/>
              <w:spacing w:before="1"/>
              <w:rPr>
                <w:sz w:val="15"/>
              </w:rPr>
            </w:pPr>
          </w:p>
          <w:p w14:paraId="486754FE">
            <w:pPr>
              <w:pStyle w:val="17"/>
              <w:spacing w:before="1"/>
              <w:ind w:left="294"/>
              <w:rPr>
                <w:sz w:val="18"/>
              </w:rPr>
            </w:pPr>
            <w:r>
              <w:rPr>
                <w:rFonts w:ascii="仿宋" w:hAnsi="仿宋" w:eastAsia="仿宋"/>
                <w:spacing w:val="29"/>
                <w:sz w:val="18"/>
              </w:rPr>
              <w:t xml:space="preserve">① </w:t>
            </w:r>
            <w:r>
              <w:rPr>
                <w:sz w:val="18"/>
              </w:rPr>
              <w:t>会进行票据影像化扫描操作。</w:t>
            </w:r>
          </w:p>
          <w:p w14:paraId="435DE0CC">
            <w:pPr>
              <w:pStyle w:val="17"/>
              <w:spacing w:before="79"/>
              <w:ind w:left="294"/>
              <w:rPr>
                <w:sz w:val="18"/>
              </w:rPr>
            </w:pPr>
            <w:r>
              <w:rPr>
                <w:rFonts w:ascii="仿宋" w:hAnsi="仿宋" w:eastAsia="仿宋"/>
                <w:spacing w:val="33"/>
                <w:sz w:val="18"/>
              </w:rPr>
              <w:t xml:space="preserve">② </w:t>
            </w:r>
            <w:r>
              <w:rPr>
                <w:sz w:val="18"/>
              </w:rPr>
              <w:t>能够应用系统进行各种对账工作。</w:t>
            </w:r>
          </w:p>
          <w:p w14:paraId="53BECA74">
            <w:pPr>
              <w:pStyle w:val="17"/>
              <w:spacing w:before="80" w:line="321" w:lineRule="auto"/>
              <w:ind w:left="108" w:right="91" w:firstLine="186"/>
              <w:rPr>
                <w:sz w:val="18"/>
              </w:rPr>
            </w:pPr>
            <w:r>
              <w:rPr>
                <w:rFonts w:ascii="仿宋" w:hAnsi="仿宋" w:eastAsia="仿宋"/>
                <w:spacing w:val="5"/>
                <w:sz w:val="18"/>
              </w:rPr>
              <w:t xml:space="preserve">③ </w:t>
            </w:r>
            <w:r>
              <w:rPr>
                <w:sz w:val="18"/>
              </w:rPr>
              <w:t>能够应用系统实施各项目模块日常记账监控和清账工作。</w:t>
            </w:r>
          </w:p>
          <w:p w14:paraId="53A1F972">
            <w:pPr>
              <w:pStyle w:val="17"/>
              <w:spacing w:line="199" w:lineRule="exact"/>
              <w:ind w:left="294"/>
              <w:rPr>
                <w:sz w:val="18"/>
              </w:rPr>
            </w:pPr>
            <w:r>
              <w:rPr>
                <w:rFonts w:ascii="仿宋" w:hAnsi="仿宋" w:eastAsia="仿宋"/>
                <w:spacing w:val="44"/>
                <w:sz w:val="18"/>
              </w:rPr>
              <w:t xml:space="preserve">④ </w:t>
            </w:r>
            <w:r>
              <w:rPr>
                <w:sz w:val="18"/>
              </w:rPr>
              <w:t>能够应用系统对接税务局平台，办理网上</w:t>
            </w:r>
          </w:p>
          <w:p w14:paraId="61E2481D">
            <w:pPr>
              <w:pStyle w:val="17"/>
              <w:spacing w:before="90"/>
              <w:ind w:left="108"/>
              <w:rPr>
                <w:sz w:val="18"/>
              </w:rPr>
            </w:pPr>
            <w:r>
              <w:rPr>
                <w:sz w:val="18"/>
              </w:rPr>
              <w:t>纳税申报业务。</w:t>
            </w:r>
          </w:p>
          <w:p w14:paraId="723645E4">
            <w:pPr>
              <w:pStyle w:val="17"/>
              <w:spacing w:before="89"/>
              <w:ind w:left="294" w:leftChars="0"/>
              <w:rPr>
                <w:rFonts w:ascii="宋体" w:hAnsi="宋体" w:eastAsia="宋体" w:cs="宋体"/>
                <w:kern w:val="2"/>
                <w:sz w:val="18"/>
                <w:szCs w:val="22"/>
                <w:lang w:val="en-US" w:eastAsia="zh-CN" w:bidi="ar-SA"/>
              </w:rPr>
            </w:pPr>
            <w:r>
              <w:rPr>
                <w:rFonts w:ascii="仿宋" w:hAnsi="仿宋" w:eastAsia="仿宋"/>
                <w:spacing w:val="36"/>
                <w:sz w:val="18"/>
              </w:rPr>
              <w:t xml:space="preserve">⑤ </w:t>
            </w:r>
            <w:r>
              <w:rPr>
                <w:sz w:val="18"/>
              </w:rPr>
              <w:t>了解智能工具在纳税申报工作中的应用</w:t>
            </w:r>
          </w:p>
        </w:tc>
      </w:tr>
    </w:tbl>
    <w:p w14:paraId="2B093E7A">
      <w:pPr>
        <w:numPr>
          <w:ilvl w:val="0"/>
          <w:numId w:val="1"/>
        </w:numPr>
        <w:overflowPunct w:val="0"/>
        <w:ind w:left="0" w:leftChars="0" w:firstLine="600" w:firstLineChars="200"/>
        <w:rPr>
          <w:rFonts w:hint="eastAsia" w:ascii="楷体_GB2312" w:eastAsia="楷体_GB2312"/>
          <w:color w:val="auto"/>
          <w:sz w:val="30"/>
          <w:szCs w:val="30"/>
        </w:rPr>
      </w:pPr>
      <w:r>
        <w:rPr>
          <w:rFonts w:hint="eastAsia" w:ascii="楷体_GB2312" w:eastAsia="楷体_GB2312"/>
          <w:color w:val="auto"/>
          <w:sz w:val="30"/>
          <w:szCs w:val="30"/>
        </w:rPr>
        <w:t>跟岗实习和</w:t>
      </w:r>
      <w:r>
        <w:rPr>
          <w:rFonts w:hint="eastAsia" w:ascii="楷体_GB2312" w:eastAsia="楷体_GB2312"/>
          <w:color w:val="auto"/>
          <w:sz w:val="30"/>
          <w:szCs w:val="30"/>
          <w:lang w:eastAsia="zh-CN"/>
        </w:rPr>
        <w:t>岗位</w:t>
      </w:r>
      <w:r>
        <w:rPr>
          <w:rFonts w:hint="eastAsia" w:ascii="楷体_GB2312" w:eastAsia="楷体_GB2312"/>
          <w:color w:val="auto"/>
          <w:sz w:val="30"/>
          <w:szCs w:val="30"/>
        </w:rPr>
        <w:t>实习</w:t>
      </w:r>
    </w:p>
    <w:p w14:paraId="26BF94DE">
      <w:pPr>
        <w:pStyle w:val="3"/>
        <w:spacing w:before="51" w:line="285" w:lineRule="auto"/>
        <w:ind w:right="229" w:firstLine="433"/>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实践性教学应贯穿于人才培养全过程。实践性教学主要包括实习实训、毕业设计、社会实践活动等形式，公共基础课程和专业课程等都要加强实践性教学。</w:t>
      </w:r>
    </w:p>
    <w:p w14:paraId="715497A4">
      <w:pPr>
        <w:pStyle w:val="14"/>
        <w:numPr>
          <w:ilvl w:val="0"/>
          <w:numId w:val="0"/>
        </w:numPr>
        <w:tabs>
          <w:tab w:val="left" w:pos="974"/>
        </w:tabs>
        <w:spacing w:before="0" w:after="0" w:line="268" w:lineRule="exact"/>
        <w:ind w:leftChars="200" w:right="0" w:rightChars="0"/>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cstheme="minorBidi"/>
          <w:kern w:val="2"/>
          <w:sz w:val="30"/>
          <w:szCs w:val="30"/>
          <w:lang w:val="en-US" w:eastAsia="zh-CN" w:bidi="ar-SA"/>
        </w:rPr>
        <w:t>（1）</w:t>
      </w:r>
      <w:r>
        <w:rPr>
          <w:rFonts w:hint="eastAsia" w:ascii="仿宋_GB2312" w:eastAsia="仿宋_GB2312" w:hAnsiTheme="minorHAnsi" w:cstheme="minorBidi"/>
          <w:kern w:val="2"/>
          <w:sz w:val="30"/>
          <w:szCs w:val="30"/>
          <w:lang w:val="en-US" w:eastAsia="zh-CN" w:bidi="ar-SA"/>
        </w:rPr>
        <w:t>实训</w:t>
      </w:r>
    </w:p>
    <w:p w14:paraId="10A46933">
      <w:pPr>
        <w:pStyle w:val="3"/>
        <w:spacing w:before="51" w:line="285" w:lineRule="auto"/>
        <w:ind w:right="229" w:firstLine="433"/>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在校内外进行企业模拟经营、电子票据处理、出纳和资金管理、企业会计实务、财税代 理服务、智能财税共享服务等实训，包括单项技能实训、综合能力实训、生产性实训等。</w:t>
      </w:r>
    </w:p>
    <w:p w14:paraId="20855BAA">
      <w:pPr>
        <w:pStyle w:val="14"/>
        <w:numPr>
          <w:ilvl w:val="0"/>
          <w:numId w:val="0"/>
        </w:numPr>
        <w:tabs>
          <w:tab w:val="left" w:pos="974"/>
        </w:tabs>
        <w:spacing w:before="0" w:after="0" w:line="268" w:lineRule="exact"/>
        <w:ind w:leftChars="200" w:right="0" w:rightChars="0"/>
        <w:jc w:val="left"/>
        <w:rPr>
          <w:rFonts w:hint="eastAsia" w:ascii="仿宋_GB2312" w:eastAsia="仿宋_GB2312" w:hAnsiTheme="minorHAnsi" w:cstheme="minorBidi"/>
          <w:kern w:val="2"/>
          <w:sz w:val="30"/>
          <w:szCs w:val="30"/>
          <w:lang w:val="en-US" w:eastAsia="zh-CN" w:bidi="ar-SA"/>
        </w:rPr>
      </w:pPr>
      <w:r>
        <w:rPr>
          <w:rFonts w:hint="eastAsia" w:ascii="仿宋_GB2312" w:eastAsia="仿宋_GB2312" w:cstheme="minorBidi"/>
          <w:kern w:val="2"/>
          <w:sz w:val="30"/>
          <w:szCs w:val="30"/>
          <w:lang w:val="en-US" w:eastAsia="zh-CN" w:bidi="ar-SA"/>
        </w:rPr>
        <w:t>（2）</w:t>
      </w:r>
      <w:r>
        <w:rPr>
          <w:rFonts w:hint="eastAsia" w:ascii="仿宋_GB2312" w:eastAsia="仿宋_GB2312" w:hAnsiTheme="minorHAnsi" w:cstheme="minorBidi"/>
          <w:kern w:val="2"/>
          <w:sz w:val="30"/>
          <w:szCs w:val="30"/>
          <w:lang w:val="en-US" w:eastAsia="zh-CN" w:bidi="ar-SA"/>
        </w:rPr>
        <w:t>实习</w:t>
      </w:r>
    </w:p>
    <w:p w14:paraId="1AE48EF6">
      <w:pPr>
        <w:pStyle w:val="3"/>
        <w:spacing w:before="52" w:line="285" w:lineRule="auto"/>
        <w:ind w:right="229" w:firstLine="433"/>
        <w:jc w:val="both"/>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在独立设置财务机构的中小微企业、财税服务中介机构、集团财务共享中心等企业或者 符合条件的校内虚拟仿真实习基地进行实习，包括认识实习和岗位实习。学校应建立稳定、 够用的实习基地，选派专门的实习指导教师和人员，组织开展专业对口实习，加强对学生实 习的指导、管理和考核。</w:t>
      </w:r>
    </w:p>
    <w:p w14:paraId="40FA9F19">
      <w:pPr>
        <w:pStyle w:val="3"/>
        <w:spacing w:line="285" w:lineRule="auto"/>
        <w:ind w:right="121" w:firstLine="433"/>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3A7B4B45">
      <w:pPr>
        <w:overflowPunct w:val="0"/>
        <w:ind w:firstLine="600" w:firstLineChars="200"/>
        <w:rPr>
          <w:rFonts w:hint="eastAsia" w:ascii="黑体" w:hAnsi="黑体" w:eastAsia="黑体"/>
          <w:sz w:val="30"/>
          <w:szCs w:val="30"/>
        </w:rPr>
      </w:pPr>
      <w:r>
        <w:rPr>
          <w:rFonts w:hint="eastAsia" w:ascii="黑体" w:hAnsi="黑体" w:eastAsia="黑体"/>
          <w:sz w:val="30"/>
          <w:szCs w:val="30"/>
          <w:lang w:eastAsia="zh-CN"/>
        </w:rPr>
        <w:t>八</w:t>
      </w:r>
      <w:r>
        <w:rPr>
          <w:rFonts w:hint="eastAsia" w:ascii="黑体" w:hAnsi="黑体" w:eastAsia="黑体"/>
          <w:sz w:val="30"/>
          <w:szCs w:val="30"/>
        </w:rPr>
        <w:t xml:space="preserve">、 教学进程总体安排 </w:t>
      </w:r>
    </w:p>
    <w:p w14:paraId="7F8BC068">
      <w:pPr>
        <w:pStyle w:val="3"/>
        <w:spacing w:line="285" w:lineRule="auto"/>
        <w:ind w:right="121" w:firstLine="433"/>
        <w:rPr>
          <w:rFonts w:hint="eastAsia" w:ascii="仿宋_GB2312" w:eastAsia="仿宋_GB2312"/>
          <w:sz w:val="30"/>
          <w:szCs w:val="30"/>
        </w:rPr>
      </w:pPr>
      <w:r>
        <w:rPr>
          <w:rFonts w:hint="eastAsia" w:ascii="仿宋_GB2312" w:eastAsia="仿宋_GB2312"/>
          <w:sz w:val="30"/>
          <w:szCs w:val="30"/>
        </w:rPr>
        <w:t>教学进程是对本专业技术技能人才培养、教育教学实施进程的总体安排，是专业人才培养方案实施的具体体现。以表格的形式列出本专业开设课程类别、课程性质、课程名称、课程编码、学时学分、学期课程安排、考核方式，并反映有关学时比例要求。</w:t>
      </w:r>
    </w:p>
    <w:p w14:paraId="3F1F3C4B">
      <w:pPr>
        <w:pStyle w:val="3"/>
        <w:spacing w:line="285" w:lineRule="auto"/>
        <w:ind w:right="121" w:firstLine="433"/>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每学年为 52 周，其中教学时间 40 周（含复习考试），累计假期 12 周，岗位实习按每周30 学时安排，3 年总学时一般不少于 3000 学时。实行学分制的学校，16～18 学时折算 1 学分。</w:t>
      </w:r>
    </w:p>
    <w:p w14:paraId="7C1CC8F6">
      <w:pPr>
        <w:pStyle w:val="3"/>
        <w:spacing w:line="285" w:lineRule="auto"/>
        <w:ind w:right="121" w:firstLine="433"/>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军训、社会实践、入学教育、毕业教育等活动按 1 周为 1 学分。</w:t>
      </w:r>
    </w:p>
    <w:p w14:paraId="04A4C669">
      <w:pPr>
        <w:pStyle w:val="3"/>
        <w:spacing w:line="285" w:lineRule="auto"/>
        <w:ind w:right="121" w:firstLine="433"/>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公共基础课程学时一般占总学时的 1/3，可根据不同专业人才培养的需要在规定范围内适当调整，但必须保证党和国家要求的课程和学时。专业课程学时一般占总学时的 2/3。实习时间累计不超过 6 个月，可根据实际情况集中或分阶段安排，校外企业岗位实习时间一般不超过 3 个月。实践性教学学时原则上要占总学时 50%以上。各类选修课程的学时占总学时的比例应不少于 10%。</w:t>
      </w:r>
    </w:p>
    <w:p w14:paraId="422EC683">
      <w:pPr>
        <w:overflowPunct w:val="0"/>
        <w:ind w:firstLine="600" w:firstLineChars="200"/>
        <w:rPr>
          <w:rFonts w:eastAsia="黑体"/>
          <w:sz w:val="30"/>
          <w:szCs w:val="30"/>
        </w:rPr>
      </w:pPr>
      <w:r>
        <w:rPr>
          <w:rFonts w:hint="eastAsia" w:ascii="黑体" w:hAnsi="黑体" w:eastAsia="黑体"/>
          <w:sz w:val="30"/>
          <w:szCs w:val="30"/>
          <w:lang w:eastAsia="zh-CN"/>
        </w:rPr>
        <w:t>九</w:t>
      </w:r>
      <w:r>
        <w:rPr>
          <w:rFonts w:hint="eastAsia" w:ascii="黑体" w:hAnsi="黑体" w:eastAsia="黑体"/>
          <w:sz w:val="30"/>
          <w:szCs w:val="30"/>
        </w:rPr>
        <w:t>、实施保障</w:t>
      </w:r>
    </w:p>
    <w:p w14:paraId="60576F6F">
      <w:pPr>
        <w:overflowPunct w:val="0"/>
        <w:ind w:firstLine="600" w:firstLineChars="200"/>
        <w:rPr>
          <w:rFonts w:eastAsia="楷体_GB2312"/>
          <w:sz w:val="30"/>
          <w:szCs w:val="30"/>
        </w:rPr>
      </w:pPr>
      <w:r>
        <w:rPr>
          <w:rFonts w:hint="eastAsia" w:ascii="楷体_GB2312" w:eastAsia="楷体_GB2312"/>
          <w:sz w:val="30"/>
          <w:szCs w:val="30"/>
        </w:rPr>
        <w:t>（一）师资队伍</w:t>
      </w:r>
    </w:p>
    <w:p w14:paraId="76642B71">
      <w:pPr>
        <w:overflowPunct w:val="0"/>
        <w:ind w:firstLine="600" w:firstLineChars="200"/>
        <w:rPr>
          <w:rFonts w:hint="eastAsia" w:ascii="仿宋_GB2312" w:eastAsia="仿宋_GB2312"/>
          <w:sz w:val="30"/>
          <w:szCs w:val="30"/>
        </w:rPr>
      </w:pPr>
      <w:r>
        <w:rPr>
          <w:rFonts w:hint="eastAsia" w:ascii="仿宋_GB2312" w:eastAsia="仿宋_GB2312"/>
          <w:sz w:val="30"/>
          <w:szCs w:val="30"/>
        </w:rPr>
        <w:t>按照“四有好老师”“四个相统一”“四个引路人”的要求建设专业教师队伍，将师德师风作为教师队伍建设的第一标准。</w:t>
      </w:r>
    </w:p>
    <w:p w14:paraId="3F26980B">
      <w:pPr>
        <w:overflowPunct w:val="0"/>
        <w:ind w:firstLine="600" w:firstLineChars="200"/>
        <w:rPr>
          <w:rFonts w:hint="eastAsia" w:ascii="仿宋_GB2312" w:eastAsia="仿宋_GB2312"/>
          <w:sz w:val="30"/>
          <w:szCs w:val="30"/>
        </w:rPr>
      </w:pPr>
      <w:r>
        <w:rPr>
          <w:rFonts w:hint="eastAsia" w:ascii="仿宋_GB2312" w:eastAsia="仿宋_GB2312"/>
          <w:sz w:val="30"/>
          <w:szCs w:val="30"/>
        </w:rPr>
        <w:t>9.1队伍结构</w:t>
      </w:r>
    </w:p>
    <w:p w14:paraId="4AD2A618">
      <w:pPr>
        <w:overflowPunct w:val="0"/>
        <w:ind w:firstLine="600" w:firstLineChars="200"/>
        <w:rPr>
          <w:rFonts w:hint="eastAsia" w:ascii="仿宋_GB2312" w:eastAsia="仿宋_GB2312"/>
          <w:sz w:val="30"/>
          <w:szCs w:val="30"/>
        </w:rPr>
      </w:pPr>
      <w:r>
        <w:rPr>
          <w:rFonts w:hint="eastAsia" w:ascii="仿宋_GB2312" w:eastAsia="仿宋_GB2312"/>
          <w:sz w:val="30"/>
          <w:szCs w:val="30"/>
        </w:rPr>
        <w:t>专任教师队伍的数量、学历和职称要符合国家有关规定，形成合理的梯队结构。学生数 与专任教师数比例不高于 20∶1，专任教师中具有高级专业技术职务人数不低于 20%。“双师型”教师占专业课教师数比例应不低于 50%。</w:t>
      </w:r>
    </w:p>
    <w:p w14:paraId="6BA209A3">
      <w:pPr>
        <w:overflowPunct w:val="0"/>
        <w:ind w:firstLine="600" w:firstLineChars="200"/>
        <w:rPr>
          <w:rFonts w:hint="eastAsia" w:ascii="仿宋_GB2312" w:eastAsia="仿宋_GB2312"/>
          <w:sz w:val="30"/>
          <w:szCs w:val="30"/>
        </w:rPr>
      </w:pPr>
      <w:r>
        <w:rPr>
          <w:rFonts w:hint="eastAsia" w:ascii="仿宋_GB2312" w:eastAsia="仿宋_GB2312"/>
          <w:sz w:val="30"/>
          <w:szCs w:val="30"/>
        </w:rPr>
        <w:t>能够整合校内外优质人才资源，选聘企业高级技术人员担任行业导师，组建校企合作、 专兼结合的教师团队，建立定期开展专业（学科）教研机制。</w:t>
      </w:r>
    </w:p>
    <w:p w14:paraId="66EC1477">
      <w:pPr>
        <w:overflowPunct w:val="0"/>
        <w:ind w:firstLine="600" w:firstLineChars="200"/>
        <w:rPr>
          <w:rFonts w:hint="eastAsia" w:ascii="仿宋_GB2312" w:eastAsia="仿宋_GB2312"/>
          <w:sz w:val="30"/>
          <w:szCs w:val="30"/>
        </w:rPr>
      </w:pPr>
      <w:r>
        <w:rPr>
          <w:rFonts w:hint="eastAsia" w:ascii="仿宋_GB2312" w:eastAsia="仿宋_GB2312"/>
          <w:sz w:val="30"/>
          <w:szCs w:val="30"/>
        </w:rPr>
        <w:t>9.2专业带头人</w:t>
      </w:r>
    </w:p>
    <w:p w14:paraId="0E2EEE74">
      <w:pPr>
        <w:overflowPunct w:val="0"/>
        <w:ind w:firstLine="600" w:firstLineChars="200"/>
        <w:rPr>
          <w:rFonts w:hint="eastAsia" w:ascii="仿宋_GB2312" w:eastAsia="仿宋_GB2312"/>
          <w:sz w:val="30"/>
          <w:szCs w:val="30"/>
        </w:rPr>
      </w:pPr>
      <w:r>
        <w:rPr>
          <w:rFonts w:hint="eastAsia" w:ascii="仿宋_GB2312" w:eastAsia="仿宋_GB2312"/>
          <w:sz w:val="30"/>
          <w:szCs w:val="30"/>
        </w:rPr>
        <w:t>原则上应具有本专业及相关专业副高及以上职称和较强的实践能力，能广泛联系行业企 业，了解国内外会计行业发展新趋势，准确把握行业企业用人需求，具有组织开展专业建设、教科研工作和企业服务的能力，在本专业改革发展中起引领作用。</w:t>
      </w:r>
    </w:p>
    <w:p w14:paraId="3EC50CDD">
      <w:pPr>
        <w:overflowPunct w:val="0"/>
        <w:ind w:firstLine="600" w:firstLineChars="200"/>
        <w:rPr>
          <w:rFonts w:hint="eastAsia" w:ascii="仿宋_GB2312" w:eastAsia="仿宋_GB2312"/>
          <w:sz w:val="30"/>
          <w:szCs w:val="30"/>
        </w:rPr>
      </w:pPr>
      <w:r>
        <w:rPr>
          <w:rFonts w:hint="eastAsia" w:ascii="仿宋_GB2312" w:eastAsia="仿宋_GB2312"/>
          <w:sz w:val="30"/>
          <w:szCs w:val="30"/>
        </w:rPr>
        <w:t>9.3专任教师</w:t>
      </w:r>
    </w:p>
    <w:p w14:paraId="0706D010">
      <w:pPr>
        <w:overflowPunct w:val="0"/>
        <w:ind w:firstLine="600" w:firstLineChars="200"/>
        <w:rPr>
          <w:rFonts w:hint="eastAsia" w:ascii="仿宋_GB2312" w:eastAsia="仿宋_GB2312"/>
          <w:sz w:val="30"/>
          <w:szCs w:val="30"/>
        </w:rPr>
      </w:pPr>
      <w:r>
        <w:rPr>
          <w:rFonts w:hint="eastAsia" w:ascii="仿宋_GB2312" w:eastAsia="仿宋_GB2312"/>
          <w:sz w:val="30"/>
          <w:szCs w:val="30"/>
        </w:rPr>
        <w:t>具有教师资格证书；具有会计、财务管理等相关专业学历；具有一定年限的相应工作经 历或者实践经验，达到相应的技术技能水平；具有本专业理论和实践能力；能够落实课程思 政要求，挖掘专业课程中的思政教育元素和资源；能够运用信息技术开展混合式教学等教法 改革；能够跟踪新经济、新技术发展前沿，开展社会服务；专业教师每年至少 1 个月在企业或</w:t>
      </w:r>
    </w:p>
    <w:p w14:paraId="103091E9">
      <w:pPr>
        <w:overflowPunct w:val="0"/>
        <w:ind w:firstLine="600" w:firstLineChars="200"/>
        <w:rPr>
          <w:rFonts w:hint="eastAsia" w:ascii="仿宋_GB2312" w:eastAsia="仿宋_GB2312"/>
          <w:sz w:val="30"/>
          <w:szCs w:val="30"/>
        </w:rPr>
      </w:pPr>
      <w:r>
        <w:rPr>
          <w:rFonts w:hint="eastAsia" w:ascii="仿宋_GB2312" w:eastAsia="仿宋_GB2312"/>
          <w:sz w:val="30"/>
          <w:szCs w:val="30"/>
        </w:rPr>
        <w:t>生产性实训基地锻炼，每 5 年累计不少于 6 个月的企业实践经历。</w:t>
      </w:r>
    </w:p>
    <w:p w14:paraId="2CA71315">
      <w:pPr>
        <w:overflowPunct w:val="0"/>
        <w:ind w:firstLine="600" w:firstLineChars="200"/>
        <w:rPr>
          <w:rFonts w:hint="eastAsia" w:ascii="仿宋_GB2312" w:eastAsia="仿宋_GB2312"/>
          <w:sz w:val="30"/>
          <w:szCs w:val="30"/>
        </w:rPr>
      </w:pPr>
      <w:r>
        <w:rPr>
          <w:rFonts w:hint="eastAsia" w:ascii="仿宋_GB2312" w:eastAsia="仿宋_GB2312"/>
          <w:sz w:val="30"/>
          <w:szCs w:val="30"/>
        </w:rPr>
        <w:t>9.4兼职教师</w:t>
      </w:r>
    </w:p>
    <w:p w14:paraId="264A2620">
      <w:pPr>
        <w:overflowPunct w:val="0"/>
        <w:ind w:firstLine="600" w:firstLineChars="200"/>
        <w:rPr>
          <w:rFonts w:ascii="仿宋_GB2312" w:eastAsia="仿宋_GB2312"/>
          <w:sz w:val="30"/>
          <w:szCs w:val="30"/>
        </w:rPr>
      </w:pPr>
      <w:r>
        <w:rPr>
          <w:rFonts w:hint="eastAsia" w:ascii="仿宋_GB2312" w:eastAsia="仿宋_GB2312"/>
          <w:sz w:val="30"/>
          <w:szCs w:val="30"/>
        </w:rPr>
        <w:t>主要从本专业相关行业企业的高技能人才中聘任，应具有扎实的专业知识和丰富的实际 工作经验，一般应具有中级及以上专业技术职务（职称）或高级工及以上职业技能等级，了解教育教学规律，能承担专业课程教学、实习实训指导和学生职业发展规划指导等专业教学 任务。根据需要聘请技能大师、劳动模范、能工巧匠等高技能人才，根据国家有关要求制定 针对兼职教师聘任与管理的具体实施办法。对专兼职教师的数量、结构、素质等提出有关要求。</w:t>
      </w:r>
    </w:p>
    <w:p w14:paraId="373EC471">
      <w:pPr>
        <w:overflowPunct w:val="0"/>
        <w:ind w:firstLine="600" w:firstLineChars="200"/>
        <w:rPr>
          <w:rFonts w:eastAsia="楷体_GB2312"/>
          <w:sz w:val="30"/>
          <w:szCs w:val="30"/>
        </w:rPr>
      </w:pPr>
      <w:r>
        <w:rPr>
          <w:rFonts w:hint="eastAsia" w:ascii="楷体_GB2312" w:eastAsia="楷体_GB2312"/>
          <w:sz w:val="30"/>
          <w:szCs w:val="30"/>
        </w:rPr>
        <w:t>（二）教学设施</w:t>
      </w:r>
    </w:p>
    <w:p w14:paraId="4F0E0972">
      <w:pPr>
        <w:overflowPunct w:val="0"/>
        <w:ind w:firstLine="600" w:firstLineChars="200"/>
        <w:rPr>
          <w:rFonts w:hint="eastAsia" w:ascii="仿宋_GB2312" w:eastAsia="仿宋_GB2312"/>
          <w:sz w:val="30"/>
          <w:szCs w:val="30"/>
        </w:rPr>
      </w:pPr>
      <w:r>
        <w:rPr>
          <w:rFonts w:hint="eastAsia" w:ascii="仿宋_GB2312" w:eastAsia="仿宋_GB2312"/>
          <w:sz w:val="30"/>
          <w:szCs w:val="30"/>
        </w:rPr>
        <w:t>主要包括能够满足正常的课程教学、实习实训所需的专业教室、实训室和实习实训基地。</w:t>
      </w:r>
    </w:p>
    <w:p w14:paraId="0CE9DDCB">
      <w:pPr>
        <w:overflowPunct w:val="0"/>
        <w:ind w:firstLine="600" w:firstLineChars="200"/>
        <w:rPr>
          <w:rFonts w:hint="eastAsia" w:ascii="仿宋_GB2312" w:eastAsia="仿宋_GB2312"/>
          <w:sz w:val="30"/>
          <w:szCs w:val="30"/>
        </w:rPr>
      </w:pPr>
      <w:r>
        <w:rPr>
          <w:rFonts w:hint="eastAsia" w:ascii="仿宋_GB2312" w:eastAsia="仿宋_GB2312"/>
          <w:sz w:val="30"/>
          <w:szCs w:val="30"/>
          <w:lang w:val="en-US" w:eastAsia="zh-CN"/>
        </w:rPr>
        <w:t>9</w:t>
      </w:r>
      <w:r>
        <w:rPr>
          <w:rFonts w:hint="eastAsia" w:ascii="仿宋_GB2312" w:eastAsia="仿宋_GB2312"/>
          <w:sz w:val="30"/>
          <w:szCs w:val="30"/>
        </w:rPr>
        <w:t>.</w:t>
      </w:r>
      <w:r>
        <w:rPr>
          <w:rFonts w:hint="eastAsia" w:ascii="仿宋_GB2312" w:eastAsia="仿宋_GB2312"/>
          <w:sz w:val="30"/>
          <w:szCs w:val="30"/>
          <w:lang w:val="en-US" w:eastAsia="zh-CN"/>
        </w:rPr>
        <w:t>2</w:t>
      </w:r>
      <w:r>
        <w:rPr>
          <w:rFonts w:hint="eastAsia" w:ascii="仿宋_GB2312" w:eastAsia="仿宋_GB2312"/>
          <w:sz w:val="30"/>
          <w:szCs w:val="30"/>
        </w:rPr>
        <w:t>.1专业教室基本要求</w:t>
      </w:r>
    </w:p>
    <w:p w14:paraId="130C1905">
      <w:pPr>
        <w:overflowPunct w:val="0"/>
        <w:ind w:firstLine="600" w:firstLineChars="200"/>
        <w:rPr>
          <w:rFonts w:hint="eastAsia" w:ascii="仿宋_GB2312" w:eastAsia="仿宋_GB2312"/>
          <w:sz w:val="30"/>
          <w:szCs w:val="30"/>
        </w:rPr>
      </w:pPr>
      <w:r>
        <w:rPr>
          <w:rFonts w:hint="eastAsia" w:ascii="仿宋_GB2312" w:eastAsia="仿宋_GB2312"/>
          <w:sz w:val="30"/>
          <w:szCs w:val="30"/>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773769CE">
      <w:pPr>
        <w:overflowPunct w:val="0"/>
        <w:ind w:firstLine="600" w:firstLineChars="200"/>
        <w:rPr>
          <w:rFonts w:hint="eastAsia" w:ascii="仿宋_GB2312" w:eastAsia="仿宋_GB2312"/>
          <w:sz w:val="30"/>
          <w:szCs w:val="30"/>
        </w:rPr>
      </w:pPr>
      <w:r>
        <w:rPr>
          <w:rFonts w:hint="eastAsia" w:ascii="仿宋_GB2312" w:eastAsia="仿宋_GB2312"/>
          <w:sz w:val="30"/>
          <w:szCs w:val="30"/>
          <w:lang w:val="en-US" w:eastAsia="zh-CN"/>
        </w:rPr>
        <w:t>9</w:t>
      </w:r>
      <w:r>
        <w:rPr>
          <w:rFonts w:hint="eastAsia" w:ascii="仿宋_GB2312" w:eastAsia="仿宋_GB2312"/>
          <w:sz w:val="30"/>
          <w:szCs w:val="30"/>
        </w:rPr>
        <w:t>.</w:t>
      </w:r>
      <w:r>
        <w:rPr>
          <w:rFonts w:hint="eastAsia" w:ascii="仿宋_GB2312" w:eastAsia="仿宋_GB2312"/>
          <w:sz w:val="30"/>
          <w:szCs w:val="30"/>
          <w:lang w:val="en-US" w:eastAsia="zh-CN"/>
        </w:rPr>
        <w:t>2</w:t>
      </w:r>
      <w:r>
        <w:rPr>
          <w:rFonts w:hint="eastAsia" w:ascii="仿宋_GB2312" w:eastAsia="仿宋_GB2312"/>
          <w:sz w:val="30"/>
          <w:szCs w:val="30"/>
        </w:rPr>
        <w:t>.2校内外实训场所基本要求</w:t>
      </w:r>
    </w:p>
    <w:p w14:paraId="525CEBF6">
      <w:pPr>
        <w:overflowPunct w:val="0"/>
        <w:ind w:firstLine="600" w:firstLineChars="200"/>
        <w:rPr>
          <w:rFonts w:hint="eastAsia" w:ascii="仿宋_GB2312" w:eastAsia="仿宋_GB2312"/>
          <w:sz w:val="30"/>
          <w:szCs w:val="30"/>
        </w:rPr>
      </w:pPr>
      <w:r>
        <w:rPr>
          <w:rFonts w:hint="eastAsia" w:ascii="仿宋_GB2312" w:eastAsia="仿宋_GB2312"/>
          <w:sz w:val="30"/>
          <w:szCs w:val="30"/>
        </w:rPr>
        <w:t>实训场所面积、设备设施、安全、环境、管理等符合教育部有关标准（规定、办法），实训环境与设备设施对接真实职业场景或工作情境，实训项目注重工学结合、理实一体化，实训指导教师配备合理，实训管理及实施规章制度齐全，确保能够顺利开展电子票据处理、出 纳与资金业务管理、会计信息系统应用、税费智能申报等实训活动。鼓励在实训中运用大数 据、云计算、人工智能、虚拟仿真等前沿信息技术。</w:t>
      </w:r>
    </w:p>
    <w:p w14:paraId="24E4BB4A">
      <w:pPr>
        <w:overflowPunct w:val="0"/>
        <w:ind w:firstLine="600" w:firstLineChars="200"/>
        <w:rPr>
          <w:rFonts w:hint="eastAsia" w:ascii="仿宋_GB2312" w:eastAsia="仿宋_GB2312"/>
          <w:sz w:val="30"/>
          <w:szCs w:val="30"/>
        </w:rPr>
      </w:pPr>
      <w:r>
        <w:rPr>
          <w:rFonts w:hint="eastAsia" w:ascii="仿宋_GB2312" w:eastAsia="仿宋_GB2312"/>
          <w:sz w:val="30"/>
          <w:szCs w:val="30"/>
        </w:rPr>
        <w:t>（1）会计基本技能实训室</w:t>
      </w:r>
    </w:p>
    <w:p w14:paraId="41284144">
      <w:pPr>
        <w:overflowPunct w:val="0"/>
        <w:ind w:firstLine="600" w:firstLineChars="200"/>
        <w:rPr>
          <w:rFonts w:hint="eastAsia" w:ascii="仿宋_GB2312" w:eastAsia="仿宋_GB2312"/>
          <w:sz w:val="30"/>
          <w:szCs w:val="30"/>
        </w:rPr>
      </w:pPr>
      <w:r>
        <w:rPr>
          <w:rFonts w:hint="eastAsia" w:ascii="仿宋_GB2312" w:eastAsia="仿宋_GB2312"/>
          <w:sz w:val="30"/>
          <w:szCs w:val="30"/>
        </w:rPr>
        <w:t>配备多媒体教学设备、计算机及网络设备、扫描仪、高拍仪、票据打印机、票据装订机、电子开票系统、电子票据识别系统等设备及软件，用于电子票据技术应用等实训教学。</w:t>
      </w:r>
    </w:p>
    <w:p w14:paraId="0FC61CA9">
      <w:pPr>
        <w:overflowPunct w:val="0"/>
        <w:ind w:firstLine="600" w:firstLineChars="200"/>
        <w:rPr>
          <w:rFonts w:hint="eastAsia" w:ascii="仿宋_GB2312" w:eastAsia="仿宋_GB2312"/>
          <w:sz w:val="30"/>
          <w:szCs w:val="30"/>
        </w:rPr>
      </w:pPr>
      <w:r>
        <w:rPr>
          <w:rFonts w:hint="eastAsia" w:ascii="仿宋_GB2312" w:eastAsia="仿宋_GB2312"/>
          <w:sz w:val="30"/>
          <w:szCs w:val="30"/>
        </w:rPr>
        <w:t>（2）会计信息化实训室</w:t>
      </w:r>
    </w:p>
    <w:p w14:paraId="6AB669C0">
      <w:pPr>
        <w:overflowPunct w:val="0"/>
        <w:ind w:firstLine="600" w:firstLineChars="200"/>
        <w:rPr>
          <w:rFonts w:hint="eastAsia" w:ascii="仿宋_GB2312" w:eastAsia="仿宋_GB2312"/>
          <w:sz w:val="30"/>
          <w:szCs w:val="30"/>
        </w:rPr>
      </w:pPr>
      <w:r>
        <w:rPr>
          <w:rFonts w:hint="eastAsia" w:ascii="仿宋_GB2312" w:eastAsia="仿宋_GB2312"/>
          <w:sz w:val="30"/>
          <w:szCs w:val="30"/>
        </w:rPr>
        <w:t>配备多媒体教学设备、计算机及网络设备、会计信息系统、工商登记实训系统、网银结算实训系统、数据分析工具等设备及软件，用于出纳与资金管理、企业会计实务、成本核算与管理、会计信息系统应用、财税代理服务、会计信息系统运营服务、财务数据分析等实训 教学和岗位实习。</w:t>
      </w:r>
    </w:p>
    <w:p w14:paraId="77125C3E">
      <w:pPr>
        <w:overflowPunct w:val="0"/>
        <w:ind w:firstLine="600" w:firstLineChars="200"/>
        <w:rPr>
          <w:rFonts w:hint="eastAsia" w:ascii="仿宋_GB2312" w:eastAsia="仿宋_GB2312"/>
          <w:sz w:val="30"/>
          <w:szCs w:val="30"/>
        </w:rPr>
      </w:pPr>
      <w:r>
        <w:rPr>
          <w:rFonts w:hint="eastAsia" w:ascii="仿宋_GB2312" w:eastAsia="仿宋_GB2312"/>
          <w:sz w:val="30"/>
          <w:szCs w:val="30"/>
        </w:rPr>
        <w:t>（3）企业经营沙盘模拟实训室</w:t>
      </w:r>
    </w:p>
    <w:p w14:paraId="55E09896">
      <w:pPr>
        <w:overflowPunct w:val="0"/>
        <w:ind w:firstLine="600" w:firstLineChars="200"/>
        <w:rPr>
          <w:rFonts w:hint="eastAsia" w:ascii="仿宋_GB2312" w:eastAsia="仿宋_GB2312"/>
          <w:sz w:val="30"/>
          <w:szCs w:val="30"/>
        </w:rPr>
      </w:pPr>
      <w:r>
        <w:rPr>
          <w:rFonts w:hint="eastAsia" w:ascii="仿宋_GB2312" w:eastAsia="仿宋_GB2312"/>
          <w:sz w:val="30"/>
          <w:szCs w:val="30"/>
        </w:rPr>
        <w:t>配备多媒体教学设备、计算机及网络设备、电子沙盘实训软件等设备及软件，用于会计 基础、场景化企业模拟经营等实训教学。可结合实际建设综合性实训场所。</w:t>
      </w:r>
    </w:p>
    <w:p w14:paraId="7669E9EB">
      <w:pPr>
        <w:overflowPunct w:val="0"/>
        <w:ind w:firstLine="600" w:firstLineChars="200"/>
        <w:rPr>
          <w:rFonts w:hint="eastAsia" w:ascii="仿宋_GB2312" w:eastAsia="仿宋_GB2312"/>
          <w:sz w:val="30"/>
          <w:szCs w:val="30"/>
        </w:rPr>
      </w:pPr>
      <w:r>
        <w:rPr>
          <w:rFonts w:hint="eastAsia" w:ascii="仿宋_GB2312" w:eastAsia="仿宋_GB2312"/>
          <w:sz w:val="30"/>
          <w:szCs w:val="30"/>
          <w:lang w:val="en-US" w:eastAsia="zh-CN"/>
        </w:rPr>
        <w:t>9</w:t>
      </w:r>
      <w:r>
        <w:rPr>
          <w:rFonts w:hint="eastAsia" w:ascii="仿宋_GB2312" w:eastAsia="仿宋_GB2312"/>
          <w:sz w:val="30"/>
          <w:szCs w:val="30"/>
        </w:rPr>
        <w:t>.</w:t>
      </w:r>
      <w:r>
        <w:rPr>
          <w:rFonts w:hint="eastAsia" w:ascii="仿宋_GB2312" w:eastAsia="仿宋_GB2312"/>
          <w:sz w:val="30"/>
          <w:szCs w:val="30"/>
          <w:lang w:val="en-US" w:eastAsia="zh-CN"/>
        </w:rPr>
        <w:t>2</w:t>
      </w:r>
      <w:r>
        <w:rPr>
          <w:rFonts w:hint="eastAsia" w:ascii="仿宋_GB2312" w:eastAsia="仿宋_GB2312"/>
          <w:sz w:val="30"/>
          <w:szCs w:val="30"/>
        </w:rPr>
        <w:t>.3实习场所基本要求</w:t>
      </w:r>
    </w:p>
    <w:p w14:paraId="71338537">
      <w:pPr>
        <w:overflowPunct w:val="0"/>
        <w:ind w:firstLine="600" w:firstLineChars="200"/>
        <w:rPr>
          <w:rFonts w:hint="eastAsia" w:ascii="仿宋_GB2312" w:eastAsia="仿宋_GB2312"/>
          <w:sz w:val="30"/>
          <w:szCs w:val="30"/>
        </w:rPr>
      </w:pPr>
      <w:r>
        <w:rPr>
          <w:rFonts w:hint="eastAsia" w:ascii="仿宋_GB2312" w:eastAsia="仿宋_GB2312"/>
          <w:sz w:val="30"/>
          <w:szCs w:val="30"/>
        </w:rPr>
        <w:t>符合《职业学校学生实习管理规定》《职业学校校企合作促进办法》等对实习单位的有关 要求，经实地考察后，确定合法经营、管理规范，实习条件完备且符合产业发展实际、符合 安全生产法律法规要求，与学校建立稳定合作关系的单位成为实习基地，并签署学校、学生、实习单位三方协议。</w:t>
      </w:r>
    </w:p>
    <w:p w14:paraId="354D6F61">
      <w:pPr>
        <w:overflowPunct w:val="0"/>
        <w:ind w:firstLine="600" w:firstLineChars="200"/>
        <w:rPr>
          <w:rFonts w:hint="eastAsia" w:ascii="仿宋_GB2312" w:eastAsia="仿宋_GB2312"/>
          <w:sz w:val="30"/>
          <w:szCs w:val="30"/>
        </w:rPr>
      </w:pPr>
      <w:r>
        <w:rPr>
          <w:rFonts w:hint="eastAsia" w:ascii="仿宋_GB2312" w:eastAsia="仿宋_GB2312"/>
          <w:sz w:val="30"/>
          <w:szCs w:val="30"/>
        </w:rPr>
        <w:t>根据本专业人才培养的需要和未来就业需求，实习基地应能提供出纳、会计、税费申报、财税咨询、财税代理服务、会计信息系统运营服务等与专业对口的相关实习岗位，能涵盖当 前相关产业发展的主流技术，可接纳一定规模的学生实习；学校和实习单位双方共同制订实 习计划，能够配备相应数量的指导教师对学生实习进行指导和管理，实习单位安排有经验的 技术或管理人员担任实习指导教师，开展专业教学和职业技能训练，完成实习质量评价，做 好学生实习服务和管理工作，有保证实习学生日常工作、学习、生活的规章制度，有安全、 保险保障，依法依规保障学生的基本权益。</w:t>
      </w:r>
    </w:p>
    <w:p w14:paraId="416098A8">
      <w:pPr>
        <w:overflowPunct w:val="0"/>
        <w:ind w:firstLine="600" w:firstLineChars="200"/>
        <w:rPr>
          <w:rFonts w:hint="eastAsia" w:ascii="仿宋_GB2312" w:eastAsia="仿宋_GB2312"/>
          <w:sz w:val="30"/>
          <w:szCs w:val="30"/>
        </w:rPr>
      </w:pPr>
      <w:r>
        <w:rPr>
          <w:rFonts w:hint="eastAsia" w:ascii="仿宋_GB2312" w:eastAsia="仿宋_GB2312"/>
          <w:sz w:val="30"/>
          <w:szCs w:val="30"/>
          <w:lang w:val="en-US" w:eastAsia="zh-CN"/>
        </w:rPr>
        <w:t>（三）</w:t>
      </w:r>
      <w:r>
        <w:rPr>
          <w:rFonts w:hint="eastAsia" w:ascii="仿宋_GB2312" w:eastAsia="仿宋_GB2312"/>
          <w:sz w:val="30"/>
          <w:szCs w:val="30"/>
        </w:rPr>
        <w:t>教学资源</w:t>
      </w:r>
    </w:p>
    <w:p w14:paraId="6228FF8D">
      <w:pPr>
        <w:overflowPunct w:val="0"/>
        <w:ind w:firstLine="600" w:firstLineChars="200"/>
        <w:rPr>
          <w:rFonts w:hint="eastAsia" w:ascii="仿宋_GB2312" w:eastAsia="仿宋_GB2312"/>
          <w:sz w:val="30"/>
          <w:szCs w:val="30"/>
        </w:rPr>
      </w:pPr>
      <w:r>
        <w:rPr>
          <w:rFonts w:hint="eastAsia" w:ascii="仿宋_GB2312" w:eastAsia="仿宋_GB2312"/>
          <w:sz w:val="30"/>
          <w:szCs w:val="30"/>
        </w:rPr>
        <w:t>主要包括能够满足学生专业学习、教师专业教学研究和教学实施需要的教材、图书及数 字化资源等。</w:t>
      </w:r>
    </w:p>
    <w:p w14:paraId="6B89C966">
      <w:pPr>
        <w:overflowPunct w:val="0"/>
        <w:ind w:firstLine="600" w:firstLineChars="200"/>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w:t>
      </w:r>
      <w:r>
        <w:rPr>
          <w:rFonts w:hint="eastAsia" w:ascii="仿宋_GB2312" w:eastAsia="仿宋_GB2312"/>
          <w:sz w:val="30"/>
          <w:szCs w:val="30"/>
        </w:rPr>
        <w:t>教材选用基本要求</w:t>
      </w:r>
    </w:p>
    <w:p w14:paraId="0ED536F4">
      <w:pPr>
        <w:overflowPunct w:val="0"/>
        <w:ind w:firstLine="600" w:firstLineChars="200"/>
        <w:rPr>
          <w:rFonts w:hint="eastAsia" w:ascii="仿宋_GB2312" w:eastAsia="仿宋_GB2312"/>
          <w:sz w:val="30"/>
          <w:szCs w:val="30"/>
        </w:rPr>
      </w:pPr>
      <w:r>
        <w:rPr>
          <w:rFonts w:hint="eastAsia" w:ascii="仿宋_GB2312" w:eastAsia="仿宋_GB2312"/>
          <w:sz w:val="30"/>
          <w:szCs w:val="30"/>
        </w:rPr>
        <w:t>按照国家规定，经过规范程序选用教材，优先选用国家规划教材和国家优秀教材。专业 课程教材应体现本行业新技术、新规范、新标准、新形态，并通过数字教材、活页式教材等 多种方式进行动态更新。</w:t>
      </w:r>
    </w:p>
    <w:p w14:paraId="20544B84">
      <w:pPr>
        <w:overflowPunct w:val="0"/>
        <w:ind w:firstLine="600" w:firstLineChars="200"/>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图书文献配备基本要求</w:t>
      </w:r>
    </w:p>
    <w:p w14:paraId="2D7988DD">
      <w:pPr>
        <w:overflowPunct w:val="0"/>
        <w:ind w:firstLine="600" w:firstLineChars="200"/>
        <w:rPr>
          <w:rFonts w:hint="eastAsia" w:ascii="仿宋_GB2312" w:eastAsia="仿宋_GB2312"/>
          <w:sz w:val="30"/>
          <w:szCs w:val="30"/>
        </w:rPr>
      </w:pPr>
      <w:r>
        <w:rPr>
          <w:rFonts w:hint="eastAsia" w:ascii="仿宋_GB2312" w:eastAsia="仿宋_GB2312"/>
          <w:sz w:val="30"/>
          <w:szCs w:val="30"/>
        </w:rPr>
        <w:t>图书文献配备能满足人才培养、专业建设、教科研等工作的需要。专业类图书文献主要包括：会计、财政、税务、金融等经济类图书；经济法等法律类图书；互联网、大数据技术、人工智能等信息技术类图书。及时配置新经济、新技术、新工艺、新材料、新管理方式、新 服务方式等相关的图书文献。</w:t>
      </w:r>
    </w:p>
    <w:p w14:paraId="3022BAF3">
      <w:pPr>
        <w:overflowPunct w:val="0"/>
        <w:ind w:firstLine="600" w:firstLineChars="200"/>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数字教学资源配置基本要求</w:t>
      </w:r>
    </w:p>
    <w:p w14:paraId="5D5D2668">
      <w:pPr>
        <w:overflowPunct w:val="0"/>
        <w:ind w:firstLine="600" w:firstLineChars="200"/>
        <w:rPr>
          <w:rFonts w:ascii="仿宋_GB2312" w:eastAsia="仿宋_GB2312"/>
          <w:sz w:val="30"/>
          <w:szCs w:val="30"/>
        </w:rPr>
      </w:pPr>
      <w:r>
        <w:rPr>
          <w:rFonts w:hint="eastAsia" w:ascii="仿宋_GB2312" w:eastAsia="仿宋_GB2312"/>
          <w:sz w:val="30"/>
          <w:szCs w:val="30"/>
        </w:rPr>
        <w:t>建设、配备与本专业有关的音视频素材、教学课件、数字化会计票据库和教学案例库、智能财税虚拟仿真软件等专业教学资源库，种类丰富、形式多样、使用便捷、动态更新、满 足教学。对教室，校内、校外实习实训基地等提出有关要求。</w:t>
      </w:r>
    </w:p>
    <w:p w14:paraId="258DF2EC">
      <w:pPr>
        <w:overflowPunct w:val="0"/>
        <w:ind w:firstLine="600" w:firstLineChars="200"/>
        <w:rPr>
          <w:rFonts w:hint="eastAsia" w:ascii="楷体_GB2312" w:eastAsia="楷体_GB2312"/>
          <w:sz w:val="30"/>
          <w:szCs w:val="30"/>
        </w:rPr>
      </w:pPr>
      <w:r>
        <w:rPr>
          <w:rFonts w:hint="eastAsia" w:ascii="楷体_GB2312" w:eastAsia="楷体_GB2312"/>
          <w:sz w:val="30"/>
          <w:szCs w:val="30"/>
        </w:rPr>
        <w:t>（四）教学方法</w:t>
      </w:r>
    </w:p>
    <w:p w14:paraId="5CE2BC02">
      <w:pPr>
        <w:overflowPunct w:val="0"/>
        <w:ind w:firstLine="600" w:firstLineChars="200"/>
        <w:rPr>
          <w:rFonts w:hint="eastAsia" w:ascii="仿宋_GB2312" w:eastAsia="仿宋_GB2312"/>
          <w:sz w:val="30"/>
          <w:szCs w:val="30"/>
        </w:rPr>
      </w:pPr>
      <w:r>
        <w:rPr>
          <w:rFonts w:hint="eastAsia" w:ascii="仿宋_GB2312" w:eastAsia="仿宋_GB2312"/>
          <w:sz w:val="30"/>
          <w:szCs w:val="30"/>
        </w:rPr>
        <w:t>1.建议采取课内讲授为主，结合“任务驱动、项目导向”、“教学 做”一体等并配合实验实训。</w:t>
      </w:r>
    </w:p>
    <w:p w14:paraId="53651ABC">
      <w:pPr>
        <w:overflowPunct w:val="0"/>
        <w:ind w:firstLine="600" w:firstLineChars="200"/>
        <w:rPr>
          <w:rFonts w:hint="eastAsia" w:ascii="仿宋_GB2312" w:eastAsia="仿宋_GB2312"/>
          <w:sz w:val="30"/>
          <w:szCs w:val="30"/>
        </w:rPr>
      </w:pPr>
      <w:r>
        <w:rPr>
          <w:rFonts w:hint="eastAsia" w:ascii="仿宋_GB2312" w:eastAsia="仿宋_GB2312"/>
          <w:sz w:val="30"/>
          <w:szCs w:val="30"/>
        </w:rPr>
        <w:t>2.采用小组合作学习的方式，做好人员分工。教师示范与学生 分组讨论、训练互动、学生提问与教师解惑、措导相结合， 体现“做 中学”、“做中教”的教学理念 。</w:t>
      </w:r>
    </w:p>
    <w:p w14:paraId="6B383E89">
      <w:pPr>
        <w:overflowPunct w:val="0"/>
        <w:ind w:firstLine="600" w:firstLineChars="200"/>
        <w:rPr>
          <w:rFonts w:hint="eastAsia" w:ascii="仿宋_GB2312" w:eastAsia="仿宋_GB2312"/>
          <w:sz w:val="30"/>
          <w:szCs w:val="30"/>
        </w:rPr>
      </w:pPr>
      <w:r>
        <w:rPr>
          <w:rFonts w:hint="eastAsia" w:ascii="仿宋_GB2312" w:eastAsia="仿宋_GB2312"/>
          <w:sz w:val="30"/>
          <w:szCs w:val="30"/>
        </w:rPr>
        <w:t>3.学校成立由企业、学校负责人、企业技术专家和学校专业带 头人组成的校企合作专业建设指导委员会，组建校企合作、工学结 合、“产学一体”的运行管理机构，形成规范的规章制度和管理办法， 建立校企合作、工学结合运行长效机制。通过深入企业调研、座谈， 在专业设置、人才培养目标和培养方案设计方面吸纳企业专家合理 的建议，激励教师积极参与企业产品的研发与生产，激励企业技术 人员参与学校教学改革与专业建设，促进校企深度合作，增强办学 活力，提高社会服务能力。通过校企合作，建立“工学融合，在企 业中办学”的校企合作模式。根据会计专业特点，结合中职教育规 律，会计专业确定了“工学融合，在企业中办学”的校企合作模式，并建立实践性教学贯穿于人才培养全过程，生产性实习为主体，有半年以上顶岗实习的培养模型。</w:t>
      </w:r>
    </w:p>
    <w:p w14:paraId="04ACCA6F">
      <w:pPr>
        <w:overflowPunct w:val="0"/>
        <w:ind w:firstLine="600" w:firstLineChars="200"/>
        <w:rPr>
          <w:rFonts w:eastAsia="楷体_GB2312"/>
          <w:sz w:val="30"/>
          <w:szCs w:val="30"/>
        </w:rPr>
      </w:pPr>
      <w:r>
        <w:rPr>
          <w:rFonts w:hint="eastAsia" w:ascii="楷体_GB2312" w:eastAsia="楷体_GB2312"/>
          <w:sz w:val="30"/>
          <w:szCs w:val="30"/>
        </w:rPr>
        <w:t>（五）学习评价</w:t>
      </w:r>
    </w:p>
    <w:p w14:paraId="04CACEE6">
      <w:pPr>
        <w:overflowPunct w:val="0"/>
        <w:ind w:firstLine="600" w:firstLineChars="200"/>
        <w:rPr>
          <w:rFonts w:hint="eastAsia" w:ascii="仿宋_GB2312" w:eastAsia="仿宋_GB2312"/>
          <w:sz w:val="30"/>
          <w:szCs w:val="30"/>
        </w:rPr>
      </w:pPr>
      <w:r>
        <w:rPr>
          <w:rFonts w:hint="eastAsia" w:ascii="仿宋_GB2312" w:eastAsia="仿宋_GB2312"/>
          <w:sz w:val="30"/>
          <w:szCs w:val="30"/>
        </w:rPr>
        <w:t>1.基本素养要求</w:t>
      </w:r>
    </w:p>
    <w:p w14:paraId="15BD157F">
      <w:pPr>
        <w:overflowPunct w:val="0"/>
        <w:ind w:firstLine="600" w:firstLineChars="200"/>
        <w:rPr>
          <w:rFonts w:hint="eastAsia" w:ascii="仿宋_GB2312" w:eastAsia="仿宋_GB2312"/>
          <w:sz w:val="30"/>
          <w:szCs w:val="30"/>
        </w:rPr>
      </w:pPr>
      <w:r>
        <w:rPr>
          <w:rFonts w:hint="eastAsia" w:ascii="仿宋_GB2312" w:eastAsia="仿宋_GB2312"/>
          <w:sz w:val="30"/>
          <w:szCs w:val="30"/>
        </w:rPr>
        <w:t>品德素养:诚实守信、公平正直、吃苦耐劳、文明礼貌、 勤俭自 强、乐于助人。</w:t>
      </w:r>
    </w:p>
    <w:p w14:paraId="00E7D5A2">
      <w:pPr>
        <w:overflowPunct w:val="0"/>
        <w:ind w:firstLine="600" w:firstLineChars="200"/>
        <w:rPr>
          <w:rFonts w:hint="eastAsia" w:ascii="仿宋_GB2312" w:eastAsia="仿宋_GB2312"/>
          <w:sz w:val="30"/>
          <w:szCs w:val="30"/>
        </w:rPr>
      </w:pPr>
      <w:r>
        <w:rPr>
          <w:rFonts w:hint="eastAsia" w:ascii="仿宋_GB2312" w:eastAsia="仿宋_GB2312"/>
          <w:sz w:val="30"/>
          <w:szCs w:val="30"/>
        </w:rPr>
        <w:t>团队合作:具有良好的团队精神和合作意识，能与人和谐相处， 团结协作。</w:t>
      </w:r>
    </w:p>
    <w:p w14:paraId="3F939007">
      <w:pPr>
        <w:overflowPunct w:val="0"/>
        <w:ind w:firstLine="600" w:firstLineChars="200"/>
        <w:rPr>
          <w:rFonts w:hint="eastAsia" w:ascii="仿宋_GB2312" w:eastAsia="仿宋_GB2312"/>
          <w:sz w:val="30"/>
          <w:szCs w:val="30"/>
        </w:rPr>
      </w:pPr>
      <w:r>
        <w:rPr>
          <w:rFonts w:hint="eastAsia" w:ascii="仿宋_GB2312" w:eastAsia="仿宋_GB2312"/>
          <w:sz w:val="30"/>
          <w:szCs w:val="30"/>
        </w:rPr>
        <w:t>敬业精神:有很强的事业心和主人翁责任感，追求崇高的职业理 想，对学习和工作态度认真踏实，恪尽职守、精益求精、具有奉献 精神。</w:t>
      </w:r>
    </w:p>
    <w:p w14:paraId="11D49506">
      <w:pPr>
        <w:overflowPunct w:val="0"/>
        <w:ind w:firstLine="600" w:firstLineChars="200"/>
        <w:rPr>
          <w:rFonts w:hint="eastAsia" w:ascii="仿宋_GB2312" w:eastAsia="仿宋_GB2312"/>
          <w:sz w:val="30"/>
          <w:szCs w:val="30"/>
        </w:rPr>
      </w:pPr>
      <w:r>
        <w:rPr>
          <w:rFonts w:hint="eastAsia" w:ascii="仿宋_GB2312" w:eastAsia="仿宋_GB2312"/>
          <w:sz w:val="30"/>
          <w:szCs w:val="30"/>
        </w:rPr>
        <w:t>组织协调:能积极参与组织各项社团活动、文体活动， 有很强的 组织管理和协调能力。</w:t>
      </w:r>
    </w:p>
    <w:p w14:paraId="3E3E64A4">
      <w:pPr>
        <w:overflowPunct w:val="0"/>
        <w:ind w:firstLine="600" w:firstLineChars="200"/>
        <w:rPr>
          <w:rFonts w:hint="eastAsia" w:ascii="仿宋_GB2312" w:eastAsia="仿宋_GB2312"/>
          <w:sz w:val="30"/>
          <w:szCs w:val="30"/>
        </w:rPr>
      </w:pPr>
      <w:r>
        <w:rPr>
          <w:rFonts w:hint="eastAsia" w:ascii="仿宋_GB2312" w:eastAsia="仿宋_GB2312"/>
          <w:sz w:val="30"/>
          <w:szCs w:val="30"/>
        </w:rPr>
        <w:t>2.文化知识和职业技能评价</w:t>
      </w:r>
    </w:p>
    <w:p w14:paraId="442DFF72">
      <w:pPr>
        <w:overflowPunct w:val="0"/>
        <w:ind w:firstLine="600" w:firstLineChars="200"/>
        <w:rPr>
          <w:rFonts w:hint="eastAsia" w:ascii="仿宋_GB2312" w:eastAsia="仿宋_GB2312"/>
          <w:sz w:val="30"/>
          <w:szCs w:val="30"/>
        </w:rPr>
      </w:pPr>
      <w:r>
        <w:rPr>
          <w:rFonts w:hint="eastAsia" w:ascii="仿宋_GB2312" w:eastAsia="仿宋_GB2312"/>
          <w:sz w:val="30"/>
          <w:szCs w:val="30"/>
        </w:rPr>
        <w:t>专业素养包括文化知识、专业基础、专业技能三个方面。具体 要求如下：</w:t>
      </w:r>
    </w:p>
    <w:p w14:paraId="46E81958">
      <w:pPr>
        <w:overflowPunct w:val="0"/>
        <w:ind w:firstLine="600" w:firstLineChars="200"/>
        <w:rPr>
          <w:rFonts w:hint="eastAsia" w:ascii="仿宋_GB2312" w:eastAsia="仿宋_GB2312"/>
          <w:sz w:val="30"/>
          <w:szCs w:val="30"/>
        </w:rPr>
      </w:pPr>
      <w:r>
        <w:rPr>
          <w:rFonts w:hint="eastAsia" w:ascii="仿宋_GB2312" w:eastAsia="仿宋_GB2312"/>
          <w:sz w:val="30"/>
          <w:szCs w:val="30"/>
        </w:rPr>
        <w:t>文化知识:文化基础好，知识面宽，开设的公共课学的扎实，信 息处理能力强。</w:t>
      </w:r>
    </w:p>
    <w:p w14:paraId="758E32F2">
      <w:pPr>
        <w:overflowPunct w:val="0"/>
        <w:ind w:firstLine="600" w:firstLineChars="200"/>
        <w:rPr>
          <w:rFonts w:hint="eastAsia" w:ascii="仿宋_GB2312" w:eastAsia="仿宋_GB2312"/>
          <w:sz w:val="30"/>
          <w:szCs w:val="30"/>
        </w:rPr>
      </w:pPr>
      <w:r>
        <w:rPr>
          <w:rFonts w:hint="eastAsia" w:ascii="仿宋_GB2312" w:eastAsia="仿宋_GB2312"/>
          <w:sz w:val="30"/>
          <w:szCs w:val="30"/>
        </w:rPr>
        <w:t>专业基础:开设的专业领域的基础课程的理论知识和技能常识 掌握到位，专业知识面开阔。</w:t>
      </w:r>
    </w:p>
    <w:p w14:paraId="78894356">
      <w:pPr>
        <w:overflowPunct w:val="0"/>
        <w:ind w:firstLine="600" w:firstLineChars="200"/>
        <w:rPr>
          <w:rFonts w:hint="eastAsia" w:ascii="仿宋_GB2312" w:eastAsia="仿宋_GB2312"/>
          <w:sz w:val="30"/>
          <w:szCs w:val="30"/>
        </w:rPr>
      </w:pPr>
      <w:r>
        <w:rPr>
          <w:rFonts w:hint="eastAsia" w:ascii="仿宋_GB2312" w:eastAsia="仿宋_GB2312"/>
          <w:sz w:val="30"/>
          <w:szCs w:val="30"/>
        </w:rPr>
        <w:t>专业技能:开设专业领域的专业核心课程的理论知识学的扎实，</w:t>
      </w:r>
    </w:p>
    <w:p w14:paraId="43E5B3A4">
      <w:pPr>
        <w:overflowPunct w:val="0"/>
        <w:ind w:firstLine="600" w:firstLineChars="200"/>
        <w:rPr>
          <w:rFonts w:hint="eastAsia" w:ascii="仿宋_GB2312" w:eastAsia="仿宋_GB2312"/>
          <w:sz w:val="30"/>
          <w:szCs w:val="30"/>
        </w:rPr>
      </w:pPr>
      <w:r>
        <w:rPr>
          <w:rFonts w:hint="eastAsia" w:ascii="仿宋_GB2312" w:eastAsia="仿宋_GB2312"/>
          <w:sz w:val="30"/>
          <w:szCs w:val="30"/>
        </w:rPr>
        <w:t>能运用理论知识指导实际操作，动手能力强、操作 规范，与岗位要求实现对接。</w:t>
      </w:r>
    </w:p>
    <w:p w14:paraId="62D8D97C">
      <w:pPr>
        <w:overflowPunct w:val="0"/>
        <w:ind w:firstLine="600" w:firstLineChars="200"/>
        <w:rPr>
          <w:rFonts w:hint="eastAsia" w:ascii="仿宋_GB2312" w:eastAsia="仿宋_GB2312"/>
          <w:sz w:val="30"/>
          <w:szCs w:val="30"/>
        </w:rPr>
      </w:pPr>
      <w:r>
        <w:rPr>
          <w:rFonts w:hint="eastAsia" w:ascii="仿宋_GB2312" w:eastAsia="仿宋_GB2312"/>
          <w:sz w:val="30"/>
          <w:szCs w:val="30"/>
        </w:rPr>
        <w:t>3.顶岗实习评价</w:t>
      </w:r>
    </w:p>
    <w:p w14:paraId="38320F64">
      <w:pPr>
        <w:overflowPunct w:val="0"/>
        <w:ind w:firstLine="600" w:firstLineChars="200"/>
        <w:rPr>
          <w:rFonts w:hint="eastAsia" w:ascii="仿宋_GB2312" w:eastAsia="仿宋_GB2312"/>
          <w:sz w:val="30"/>
          <w:szCs w:val="30"/>
        </w:rPr>
      </w:pPr>
      <w:r>
        <w:rPr>
          <w:rFonts w:hint="eastAsia" w:ascii="仿宋_GB2312" w:eastAsia="仿宋_GB2312"/>
          <w:sz w:val="30"/>
          <w:szCs w:val="30"/>
        </w:rPr>
        <w:t>考核成绩参照实习单位鉴定以及学生个人的实习考勤、实习记 录、实习报告、实习表现等进行综合评定，分为优秀、良好、 一般、 及格、不及格五个等级。成绩及格及以上者获得相应的顶岗实习学 分。</w:t>
      </w:r>
    </w:p>
    <w:p w14:paraId="627BDA75">
      <w:pPr>
        <w:overflowPunct w:val="0"/>
        <w:ind w:firstLine="600" w:firstLineChars="200"/>
        <w:rPr>
          <w:rFonts w:hint="eastAsia" w:ascii="仿宋_GB2312" w:eastAsia="仿宋_GB2312"/>
          <w:sz w:val="30"/>
          <w:szCs w:val="30"/>
        </w:rPr>
      </w:pPr>
      <w:r>
        <w:rPr>
          <w:rFonts w:hint="eastAsia" w:ascii="仿宋_GB2312" w:eastAsia="仿宋_GB2312"/>
          <w:sz w:val="30"/>
          <w:szCs w:val="30"/>
        </w:rPr>
        <w:t>（1）优秀</w:t>
      </w:r>
    </w:p>
    <w:p w14:paraId="5BD7621F">
      <w:pPr>
        <w:overflowPunct w:val="0"/>
        <w:ind w:firstLine="600" w:firstLineChars="200"/>
        <w:rPr>
          <w:rFonts w:hint="eastAsia" w:ascii="仿宋_GB2312" w:eastAsia="仿宋_GB2312"/>
          <w:sz w:val="30"/>
          <w:szCs w:val="30"/>
        </w:rPr>
      </w:pPr>
      <w:r>
        <w:rPr>
          <w:rFonts w:hint="eastAsia" w:ascii="仿宋_GB2312" w:eastAsia="仿宋_GB2312"/>
          <w:sz w:val="30"/>
          <w:szCs w:val="30"/>
        </w:rPr>
        <w:t>实习态度端正，遵守实习纪律，能很好的完成实习任务，达到 实习课程标准中规定的全部要求，实习报告能对实习内容进行全面、 系统的总结，并能运用学过的知识和技能解决工作中的实际问题， 成绩优异。</w:t>
      </w:r>
    </w:p>
    <w:p w14:paraId="1356DF8D">
      <w:pPr>
        <w:overflowPunct w:val="0"/>
        <w:ind w:firstLine="600" w:firstLineChars="200"/>
        <w:rPr>
          <w:rFonts w:hint="eastAsia" w:ascii="仿宋_GB2312" w:eastAsia="仿宋_GB2312"/>
          <w:sz w:val="30"/>
          <w:szCs w:val="30"/>
        </w:rPr>
      </w:pPr>
      <w:r>
        <w:rPr>
          <w:rFonts w:hint="eastAsia" w:ascii="仿宋_GB2312" w:eastAsia="仿宋_GB2312"/>
          <w:sz w:val="30"/>
          <w:szCs w:val="30"/>
        </w:rPr>
        <w:t>（2）良好</w:t>
      </w:r>
    </w:p>
    <w:p w14:paraId="66996C03">
      <w:pPr>
        <w:overflowPunct w:val="0"/>
        <w:ind w:firstLine="600" w:firstLineChars="200"/>
        <w:rPr>
          <w:rFonts w:hint="eastAsia" w:ascii="仿宋_GB2312" w:eastAsia="仿宋_GB2312"/>
          <w:sz w:val="30"/>
          <w:szCs w:val="30"/>
        </w:rPr>
      </w:pPr>
      <w:r>
        <w:rPr>
          <w:rFonts w:hint="eastAsia" w:ascii="仿宋_GB2312" w:eastAsia="仿宋_GB2312"/>
          <w:sz w:val="30"/>
          <w:szCs w:val="30"/>
        </w:rPr>
        <w:t>实习态度端正，遵守实习纪律，能较好的完成实习任务，达到 实习课程标准中规定的全部要求，实习报告能对实习内容进行比较 全面、系统的总结，并能运用学过的知识和技能解决工作中的实际 问题，成绩良好。</w:t>
      </w:r>
    </w:p>
    <w:p w14:paraId="68324597">
      <w:pPr>
        <w:overflowPunct w:val="0"/>
        <w:ind w:firstLine="600" w:firstLineChars="200"/>
        <w:rPr>
          <w:rFonts w:hint="eastAsia" w:ascii="仿宋_GB2312" w:eastAsia="仿宋_GB2312"/>
          <w:sz w:val="30"/>
          <w:szCs w:val="30"/>
        </w:rPr>
      </w:pPr>
      <w:r>
        <w:rPr>
          <w:rFonts w:hint="eastAsia" w:ascii="仿宋_GB2312" w:eastAsia="仿宋_GB2312"/>
          <w:sz w:val="30"/>
          <w:szCs w:val="30"/>
        </w:rPr>
        <w:t>(3)一般</w:t>
      </w:r>
    </w:p>
    <w:p w14:paraId="1D47ADDE">
      <w:pPr>
        <w:overflowPunct w:val="0"/>
        <w:ind w:firstLine="600" w:firstLineChars="200"/>
        <w:rPr>
          <w:rFonts w:hint="eastAsia" w:ascii="仿宋_GB2312" w:eastAsia="仿宋_GB2312"/>
          <w:sz w:val="30"/>
          <w:szCs w:val="30"/>
        </w:rPr>
      </w:pPr>
      <w:r>
        <w:rPr>
          <w:rFonts w:hint="eastAsia" w:ascii="仿宋_GB2312" w:eastAsia="仿宋_GB2312"/>
          <w:sz w:val="30"/>
          <w:szCs w:val="30"/>
        </w:rPr>
        <w:t>实习态度基本端正，能较好的遵守实习纪律，达到实习课程标 准中规定的主要要求，习报告能对实习内容进行比较全面的总结。</w:t>
      </w:r>
    </w:p>
    <w:p w14:paraId="36653764">
      <w:pPr>
        <w:overflowPunct w:val="0"/>
        <w:ind w:firstLine="600" w:firstLineChars="200"/>
        <w:rPr>
          <w:rFonts w:hint="eastAsia" w:ascii="仿宋_GB2312" w:eastAsia="仿宋_GB2312"/>
          <w:sz w:val="30"/>
          <w:szCs w:val="30"/>
        </w:rPr>
      </w:pPr>
      <w:r>
        <w:rPr>
          <w:rFonts w:hint="eastAsia" w:ascii="仿宋_GB2312" w:eastAsia="仿宋_GB2312"/>
          <w:sz w:val="30"/>
          <w:szCs w:val="30"/>
        </w:rPr>
        <w:t>实习态度基本端正，能较好的遵守实习纪律，基本完成实习任 务。达到实习课程标准中规定的基本要求，能完成实习报告。但不 够完整、条理。</w:t>
      </w:r>
    </w:p>
    <w:p w14:paraId="7333A2C8">
      <w:pPr>
        <w:overflowPunct w:val="0"/>
        <w:ind w:firstLine="600" w:firstLineChars="200"/>
        <w:rPr>
          <w:rFonts w:hint="eastAsia" w:ascii="仿宋_GB2312" w:eastAsia="仿宋_GB2312"/>
          <w:sz w:val="30"/>
          <w:szCs w:val="30"/>
        </w:rPr>
      </w:pPr>
      <w:r>
        <w:rPr>
          <w:rFonts w:hint="eastAsia" w:ascii="仿宋_GB2312" w:eastAsia="仿宋_GB2312"/>
          <w:sz w:val="30"/>
          <w:szCs w:val="30"/>
        </w:rPr>
        <w:t>(5)不及格</w:t>
      </w:r>
    </w:p>
    <w:p w14:paraId="14270A4C">
      <w:pPr>
        <w:overflowPunct w:val="0"/>
        <w:ind w:firstLine="600" w:firstLineChars="200"/>
        <w:rPr>
          <w:rFonts w:hint="eastAsia" w:ascii="仿宋_GB2312" w:eastAsia="仿宋_GB2312"/>
          <w:sz w:val="30"/>
          <w:szCs w:val="30"/>
        </w:rPr>
      </w:pPr>
      <w:r>
        <w:rPr>
          <w:rFonts w:hint="eastAsia" w:ascii="仿宋_GB2312" w:eastAsia="仿宋_GB2312"/>
          <w:sz w:val="30"/>
          <w:szCs w:val="30"/>
        </w:rPr>
        <w:t>凡具备下列条件之一者，均为不及格:未达到实习课程标准规定 的基本要求，实习报告不认真，或内容有明显错误;未参加实习的时 间超过全部时间三分之一者;实习中有违纪行为，造成恶劣影响者。</w:t>
      </w:r>
    </w:p>
    <w:p w14:paraId="785D6684">
      <w:pPr>
        <w:overflowPunct w:val="0"/>
        <w:ind w:firstLine="600" w:firstLineChars="200"/>
        <w:rPr>
          <w:rFonts w:eastAsia="楷体_GB2312"/>
          <w:sz w:val="30"/>
          <w:szCs w:val="30"/>
        </w:rPr>
      </w:pPr>
      <w:r>
        <w:rPr>
          <w:rFonts w:hint="eastAsia" w:ascii="楷体_GB2312" w:eastAsia="楷体_GB2312"/>
          <w:sz w:val="30"/>
          <w:szCs w:val="30"/>
        </w:rPr>
        <w:t>（六）质量管理</w:t>
      </w:r>
    </w:p>
    <w:p w14:paraId="4A2BCA0A">
      <w:pPr>
        <w:overflowPunct w:val="0"/>
        <w:ind w:firstLine="600" w:firstLineChars="200"/>
        <w:rPr>
          <w:rFonts w:hint="eastAsia" w:ascii="仿宋_GB2312" w:eastAsia="仿宋_GB2312"/>
          <w:sz w:val="30"/>
          <w:szCs w:val="30"/>
        </w:rPr>
      </w:pPr>
      <w:r>
        <w:rPr>
          <w:rFonts w:hint="eastAsia" w:ascii="仿宋_GB2312" w:eastAsia="仿宋_GB2312"/>
          <w:sz w:val="30"/>
          <w:szCs w:val="30"/>
        </w:rPr>
        <w:t>（1）学校应建立专业人才培养质量保障机制，健全专业教学质量监控管理制度，改进结果评价，强化过程评价，探索增值评价，吸纳行业组织、企业等参与评价，并及时公开相关 信息，接受教育督导和社会监督，健全综合评价。完善人才培养方案、课程标准、课堂评价、实习实训、毕业设计以及资源建设等质量保障建设，通过教学实施、过程监控、质量评价和 持续改进，达到人才培养规格要求。</w:t>
      </w:r>
    </w:p>
    <w:p w14:paraId="1E8010C2">
      <w:pPr>
        <w:overflowPunct w:val="0"/>
        <w:ind w:firstLine="600" w:firstLineChars="200"/>
        <w:rPr>
          <w:rFonts w:hint="eastAsia" w:ascii="仿宋_GB2312" w:eastAsia="仿宋_GB2312"/>
          <w:sz w:val="30"/>
          <w:szCs w:val="30"/>
        </w:rPr>
      </w:pPr>
      <w:r>
        <w:rPr>
          <w:rFonts w:hint="eastAsia" w:ascii="仿宋_GB2312" w:eastAsia="仿宋_GB2312"/>
          <w:sz w:val="30"/>
          <w:szCs w:val="30"/>
        </w:rPr>
        <w:t>（2）学校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 范课等教研活动。</w:t>
      </w:r>
    </w:p>
    <w:p w14:paraId="031C5A4D">
      <w:pPr>
        <w:overflowPunct w:val="0"/>
        <w:ind w:firstLine="600" w:firstLineChars="200"/>
        <w:rPr>
          <w:rFonts w:hint="eastAsia" w:ascii="仿宋_GB2312" w:eastAsia="仿宋_GB2312"/>
          <w:sz w:val="30"/>
          <w:szCs w:val="30"/>
        </w:rPr>
      </w:pPr>
      <w:r>
        <w:rPr>
          <w:rFonts w:hint="eastAsia" w:ascii="仿宋_GB2312" w:eastAsia="仿宋_GB2312"/>
          <w:sz w:val="30"/>
          <w:szCs w:val="30"/>
        </w:rPr>
        <w:t>（3）专业教研组织应建立线上线下相结合的集中备课制度，定期召开教学研讨会议，利 用评价分析结果有效改进专业教学，持续提高人才培养质量。</w:t>
      </w:r>
    </w:p>
    <w:p w14:paraId="494769A1">
      <w:pPr>
        <w:overflowPunct w:val="0"/>
        <w:ind w:firstLine="600" w:firstLineChars="200"/>
        <w:rPr>
          <w:rFonts w:ascii="仿宋_GB2312" w:eastAsia="仿宋_GB2312"/>
          <w:sz w:val="30"/>
          <w:szCs w:val="30"/>
        </w:rPr>
      </w:pPr>
      <w:r>
        <w:rPr>
          <w:rFonts w:hint="eastAsia" w:ascii="仿宋_GB2312" w:eastAsia="仿宋_GB2312"/>
          <w:sz w:val="30"/>
          <w:szCs w:val="30"/>
        </w:rPr>
        <w:t>（4）学校应建立毕业生跟踪反馈机制及社会评价机制，并对生源情况、职业道德、技术技能水平、就业质量等进行分析，定期评价人才培养质量和培养目标达成情况。对专业人才培养的质量管理提出要求。</w:t>
      </w:r>
    </w:p>
    <w:p w14:paraId="0EB07673">
      <w:pPr>
        <w:overflowPunct w:val="0"/>
        <w:ind w:firstLine="600" w:firstLineChars="200"/>
        <w:rPr>
          <w:rFonts w:eastAsia="黑体"/>
          <w:sz w:val="30"/>
          <w:szCs w:val="30"/>
        </w:rPr>
      </w:pPr>
      <w:r>
        <w:rPr>
          <w:rFonts w:hint="eastAsia" w:ascii="黑体" w:hAnsi="黑体" w:eastAsia="黑体"/>
          <w:sz w:val="30"/>
          <w:szCs w:val="30"/>
          <w:lang w:eastAsia="zh-CN"/>
        </w:rPr>
        <w:t>十</w:t>
      </w:r>
      <w:r>
        <w:rPr>
          <w:rFonts w:hint="eastAsia" w:ascii="黑体" w:hAnsi="黑体" w:eastAsia="黑体"/>
          <w:sz w:val="30"/>
          <w:szCs w:val="30"/>
        </w:rPr>
        <w:t>、毕业要求</w:t>
      </w:r>
    </w:p>
    <w:p w14:paraId="20C4422A">
      <w:pPr>
        <w:pStyle w:val="3"/>
        <w:spacing w:before="50" w:line="285" w:lineRule="auto"/>
        <w:ind w:right="229" w:firstLine="433"/>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根据专业人才培养方案确定的目标和培养规格，完成规定的实习实训，全部课程考核合格或修满学分，准予毕业。</w:t>
      </w:r>
    </w:p>
    <w:p w14:paraId="3D1A57DE">
      <w:pPr>
        <w:pStyle w:val="3"/>
        <w:spacing w:before="50" w:line="285" w:lineRule="auto"/>
        <w:ind w:right="229" w:firstLine="433"/>
        <w:rPr>
          <w:rFonts w:hint="eastAsia" w:ascii="仿宋_GB2312" w:eastAsia="仿宋_GB2312" w:hAnsiTheme="minorHAnsi" w:cstheme="minorBidi"/>
          <w:kern w:val="2"/>
          <w:sz w:val="30"/>
          <w:szCs w:val="30"/>
          <w:lang w:val="en-US" w:eastAsia="zh-CN" w:bidi="ar-SA"/>
        </w:rPr>
      </w:pPr>
      <w:r>
        <w:rPr>
          <w:rFonts w:hint="eastAsia" w:ascii="仿宋_GB2312" w:eastAsia="仿宋_GB2312" w:hAnsiTheme="minorHAnsi" w:cstheme="minorBidi"/>
          <w:kern w:val="2"/>
          <w:sz w:val="30"/>
          <w:szCs w:val="30"/>
          <w:lang w:val="en-US" w:eastAsia="zh-CN" w:bidi="ar-SA"/>
        </w:rPr>
        <w:t>学校可结合办学实际，细化、明确学生课程修习、学业成绩、实践经历、职业素养、综合素质等方面的学习要求和考核要求等。要严把毕业出口关，确保学生毕业时完成规定的学 时学分和各教学环节，保证毕业要求的达成度。</w:t>
      </w:r>
    </w:p>
    <w:p w14:paraId="79E50925">
      <w:pPr>
        <w:pStyle w:val="3"/>
        <w:spacing w:before="50" w:line="285" w:lineRule="auto"/>
        <w:ind w:right="229" w:firstLine="433"/>
      </w:pPr>
      <w:r>
        <w:rPr>
          <w:rFonts w:hint="eastAsia" w:ascii="仿宋_GB2312" w:eastAsia="仿宋_GB2312" w:hAnsiTheme="minorHAnsi" w:cstheme="minorBidi"/>
          <w:kern w:val="2"/>
          <w:sz w:val="30"/>
          <w:szCs w:val="30"/>
          <w:lang w:val="en-US" w:eastAsia="zh-CN" w:bidi="ar-SA"/>
        </w:rPr>
        <w:t>接受职业培训取得的职业技能等级证书、培训证书等学习成果，经职业学校认定，可以转化为相应的学历教育学分；达到相应职业学校学业要求的，可以取得相应的学业证书。</w:t>
      </w:r>
    </w:p>
    <w:p w14:paraId="301B36FB">
      <w:pPr>
        <w:overflowPunct w:val="0"/>
        <w:ind w:firstLine="600" w:firstLineChars="200"/>
        <w:rPr>
          <w:rFonts w:ascii="仿宋_GB2312" w:eastAsia="仿宋_GB2312"/>
          <w:sz w:val="30"/>
          <w:szCs w:val="30"/>
        </w:rPr>
      </w:pPr>
      <w:r>
        <w:rPr>
          <w:rFonts w:hint="eastAsia" w:ascii="仿宋_GB2312" w:eastAsia="仿宋_GB2312"/>
          <w:sz w:val="30"/>
          <w:szCs w:val="30"/>
        </w:rPr>
        <w:t>毕业要求是学生通过规定年限的学习，须修满的专业人才培养方案所规定的学时学分，完成规定的教学活动，毕业时应达到的素质、知识和能力等方面要求。毕业要求应能支撑培养目标的有效达成。</w:t>
      </w:r>
    </w:p>
    <w:p w14:paraId="466E06EA">
      <w:pPr>
        <w:overflowPunct w:val="0"/>
        <w:ind w:firstLine="600" w:firstLineChars="200"/>
        <w:rPr>
          <w:rFonts w:eastAsia="黑体"/>
          <w:sz w:val="30"/>
          <w:szCs w:val="30"/>
        </w:rPr>
      </w:pPr>
      <w:r>
        <w:rPr>
          <w:rFonts w:hint="eastAsia" w:ascii="黑体" w:hAnsi="黑体" w:eastAsia="黑体"/>
          <w:sz w:val="30"/>
          <w:szCs w:val="30"/>
        </w:rPr>
        <w:t>十</w:t>
      </w:r>
      <w:r>
        <w:rPr>
          <w:rFonts w:hint="eastAsia" w:ascii="黑体" w:hAnsi="黑体" w:eastAsia="黑体"/>
          <w:sz w:val="30"/>
          <w:szCs w:val="30"/>
          <w:lang w:val="en-US" w:eastAsia="zh-CN"/>
        </w:rPr>
        <w:t>一</w:t>
      </w:r>
      <w:r>
        <w:rPr>
          <w:rFonts w:hint="eastAsia" w:ascii="黑体" w:hAnsi="黑体" w:eastAsia="黑体"/>
          <w:sz w:val="30"/>
          <w:szCs w:val="30"/>
        </w:rPr>
        <w:t>、附录</w:t>
      </w:r>
    </w:p>
    <w:p w14:paraId="2C186CC1">
      <w:pPr>
        <w:widowControl/>
        <w:ind w:firstLine="600" w:firstLineChars="200"/>
        <w:rPr>
          <w:rFonts w:ascii="仿宋_GB2312" w:eastAsia="仿宋_GB2312"/>
          <w:sz w:val="30"/>
          <w:szCs w:val="30"/>
        </w:rPr>
      </w:pPr>
      <w:r>
        <w:rPr>
          <w:rFonts w:hint="eastAsia" w:ascii="仿宋_GB2312" w:eastAsia="仿宋_GB2312"/>
          <w:sz w:val="30"/>
          <w:szCs w:val="30"/>
        </w:rPr>
        <w:t>附件</w:t>
      </w:r>
      <w:r>
        <w:rPr>
          <w:rFonts w:ascii="仿宋_GB2312" w:eastAsia="仿宋_GB2312"/>
          <w:sz w:val="30"/>
          <w:szCs w:val="30"/>
        </w:rPr>
        <w:t>一</w:t>
      </w:r>
      <w:r>
        <w:rPr>
          <w:rFonts w:hint="eastAsia" w:ascii="仿宋_GB2312" w:eastAsia="仿宋_GB2312"/>
          <w:sz w:val="30"/>
          <w:szCs w:val="30"/>
        </w:rPr>
        <w:t xml:space="preserve">  </w:t>
      </w:r>
      <w:r>
        <w:rPr>
          <w:rFonts w:hint="eastAsia" w:ascii="仿宋_GB2312" w:eastAsia="仿宋_GB2312"/>
          <w:sz w:val="30"/>
          <w:szCs w:val="30"/>
          <w:lang w:eastAsia="zh-CN"/>
        </w:rPr>
        <w:t>会计事务</w:t>
      </w:r>
      <w:r>
        <w:rPr>
          <w:rFonts w:ascii="仿宋_GB2312" w:eastAsia="仿宋_GB2312"/>
          <w:sz w:val="30"/>
          <w:szCs w:val="30"/>
        </w:rPr>
        <w:t>专业教学进度安排计划表</w:t>
      </w:r>
    </w:p>
    <w:p w14:paraId="72DDE722">
      <w:pPr>
        <w:overflowPunct w:val="0"/>
        <w:spacing w:line="560" w:lineRule="exact"/>
        <w:ind w:firstLine="600" w:firstLineChars="200"/>
        <w:rPr>
          <w:rFonts w:ascii="仿宋_GB2312" w:eastAsia="仿宋_GB2312"/>
          <w:sz w:val="30"/>
          <w:szCs w:val="30"/>
        </w:rPr>
      </w:pPr>
      <w:r>
        <w:rPr>
          <w:rFonts w:ascii="仿宋_GB2312" w:eastAsia="仿宋_GB2312"/>
          <w:sz w:val="30"/>
          <w:szCs w:val="30"/>
        </w:rPr>
        <w:t>附件</w:t>
      </w:r>
      <w:r>
        <w:rPr>
          <w:rFonts w:hint="eastAsia" w:ascii="仿宋_GB2312" w:eastAsia="仿宋_GB2312"/>
          <w:sz w:val="30"/>
          <w:szCs w:val="30"/>
        </w:rPr>
        <w:t xml:space="preserve">二  </w:t>
      </w:r>
      <w:r>
        <w:rPr>
          <w:rFonts w:ascii="仿宋_GB2312" w:eastAsia="仿宋_GB2312"/>
          <w:sz w:val="30"/>
          <w:szCs w:val="30"/>
        </w:rPr>
        <w:t>教学进程变更申请表</w:t>
      </w:r>
    </w:p>
    <w:p w14:paraId="6831C38F">
      <w:pPr>
        <w:overflowPunct w:val="0"/>
        <w:ind w:firstLine="600" w:firstLineChars="200"/>
        <w:rPr>
          <w:rFonts w:ascii="仿宋_GB2312" w:eastAsia="仿宋_GB2312"/>
          <w:sz w:val="30"/>
          <w:szCs w:val="30"/>
        </w:rPr>
      </w:pPr>
      <w:r>
        <w:rPr>
          <w:rFonts w:ascii="仿宋_GB2312" w:eastAsia="仿宋_GB2312"/>
          <w:sz w:val="30"/>
          <w:szCs w:val="30"/>
        </w:rPr>
        <w:t>附件</w:t>
      </w:r>
      <w:r>
        <w:rPr>
          <w:rFonts w:hint="eastAsia" w:ascii="仿宋_GB2312" w:eastAsia="仿宋_GB2312"/>
          <w:sz w:val="30"/>
          <w:szCs w:val="30"/>
        </w:rPr>
        <w:t xml:space="preserve">三  </w:t>
      </w:r>
      <w:r>
        <w:rPr>
          <w:rFonts w:ascii="仿宋_GB2312" w:eastAsia="仿宋_GB2312"/>
          <w:sz w:val="30"/>
          <w:szCs w:val="30"/>
        </w:rPr>
        <w:t>专业人才培养方案审核意见表</w:t>
      </w:r>
    </w:p>
    <w:p w14:paraId="1D0C6A76">
      <w:pPr>
        <w:rPr>
          <w:rFonts w:ascii="黑体" w:hAnsi="黑体" w:eastAsia="黑体"/>
          <w:sz w:val="30"/>
          <w:szCs w:val="30"/>
        </w:rPr>
      </w:pPr>
      <w:r>
        <w:rPr>
          <w:rFonts w:ascii="仿宋_GB2312" w:eastAsia="仿宋_GB2312"/>
          <w:sz w:val="30"/>
          <w:szCs w:val="30"/>
        </w:rPr>
        <w:br w:type="page"/>
      </w:r>
      <w:r>
        <w:rPr>
          <w:rFonts w:ascii="黑体" w:hAnsi="黑体" w:eastAsia="黑体"/>
          <w:sz w:val="30"/>
          <w:szCs w:val="30"/>
        </w:rPr>
        <w:t>附件 1：</w:t>
      </w:r>
    </w:p>
    <w:p w14:paraId="38AD4FE6">
      <w:pPr>
        <w:widowControl/>
        <w:jc w:val="center"/>
        <w:rPr>
          <w:rFonts w:ascii="黑体" w:hAnsi="黑体" w:eastAsia="黑体"/>
          <w:sz w:val="30"/>
          <w:szCs w:val="30"/>
        </w:rPr>
      </w:pPr>
      <w:r>
        <w:rPr>
          <w:rFonts w:hint="eastAsia" w:ascii="黑体" w:hAnsi="黑体" w:eastAsia="黑体"/>
          <w:sz w:val="30"/>
          <w:szCs w:val="30"/>
          <w:lang w:eastAsia="zh-CN"/>
        </w:rPr>
        <w:t>会计事务</w:t>
      </w:r>
      <w:r>
        <w:rPr>
          <w:rFonts w:ascii="黑体" w:hAnsi="黑体" w:eastAsia="黑体"/>
          <w:sz w:val="30"/>
          <w:szCs w:val="30"/>
        </w:rPr>
        <w:t>专业教学进度安排计划表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6"/>
        <w:gridCol w:w="2044"/>
        <w:gridCol w:w="780"/>
        <w:gridCol w:w="600"/>
        <w:gridCol w:w="641"/>
        <w:gridCol w:w="704"/>
        <w:gridCol w:w="704"/>
        <w:gridCol w:w="704"/>
        <w:gridCol w:w="842"/>
        <w:gridCol w:w="753"/>
      </w:tblGrid>
      <w:tr w14:paraId="38DD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vAlign w:val="center"/>
          </w:tcPr>
          <w:p w14:paraId="364B4A8F">
            <w:pPr>
              <w:jc w:val="center"/>
              <w:rPr>
                <w:rFonts w:ascii="黑体" w:hAnsi="黑体" w:eastAsia="黑体"/>
                <w:szCs w:val="21"/>
              </w:rPr>
            </w:pPr>
            <w:r>
              <w:rPr>
                <w:rFonts w:hint="eastAsia" w:ascii="黑体" w:hAnsi="黑体" w:eastAsia="黑体"/>
                <w:szCs w:val="21"/>
              </w:rPr>
              <w:t>课程</w:t>
            </w:r>
            <w:r>
              <w:rPr>
                <w:rFonts w:ascii="黑体" w:hAnsi="黑体" w:eastAsia="黑体"/>
                <w:szCs w:val="21"/>
              </w:rPr>
              <w:t>类别</w:t>
            </w:r>
          </w:p>
        </w:tc>
        <w:tc>
          <w:tcPr>
            <w:tcW w:w="426" w:type="dxa"/>
            <w:vMerge w:val="restart"/>
            <w:vAlign w:val="center"/>
          </w:tcPr>
          <w:p w14:paraId="68949E90">
            <w:pPr>
              <w:jc w:val="center"/>
              <w:rPr>
                <w:rFonts w:ascii="黑体" w:hAnsi="黑体" w:eastAsia="黑体"/>
                <w:szCs w:val="21"/>
              </w:rPr>
            </w:pPr>
            <w:r>
              <w:rPr>
                <w:rFonts w:hint="eastAsia" w:ascii="黑体" w:hAnsi="黑体" w:eastAsia="黑体"/>
                <w:szCs w:val="21"/>
              </w:rPr>
              <w:t>序号</w:t>
            </w:r>
          </w:p>
        </w:tc>
        <w:tc>
          <w:tcPr>
            <w:tcW w:w="2044" w:type="dxa"/>
            <w:vMerge w:val="restart"/>
            <w:vAlign w:val="center"/>
          </w:tcPr>
          <w:p w14:paraId="4A0544C7">
            <w:pPr>
              <w:jc w:val="center"/>
              <w:rPr>
                <w:rFonts w:ascii="黑体" w:hAnsi="黑体" w:eastAsia="黑体"/>
                <w:szCs w:val="21"/>
              </w:rPr>
            </w:pPr>
            <w:r>
              <w:rPr>
                <w:rFonts w:hint="eastAsia" w:ascii="黑体" w:hAnsi="黑体" w:eastAsia="黑体"/>
                <w:szCs w:val="21"/>
              </w:rPr>
              <w:t>课程名称</w:t>
            </w:r>
          </w:p>
        </w:tc>
        <w:tc>
          <w:tcPr>
            <w:tcW w:w="780" w:type="dxa"/>
            <w:vMerge w:val="restart"/>
            <w:vAlign w:val="center"/>
          </w:tcPr>
          <w:p w14:paraId="0DA378C9">
            <w:pPr>
              <w:jc w:val="center"/>
              <w:rPr>
                <w:rFonts w:ascii="黑体" w:hAnsi="黑体" w:eastAsia="黑体"/>
                <w:szCs w:val="21"/>
              </w:rPr>
            </w:pPr>
            <w:r>
              <w:rPr>
                <w:rFonts w:hint="eastAsia" w:ascii="黑体" w:hAnsi="黑体" w:eastAsia="黑体"/>
                <w:szCs w:val="21"/>
              </w:rPr>
              <w:t>总学</w:t>
            </w:r>
          </w:p>
          <w:p w14:paraId="09529C46">
            <w:pPr>
              <w:jc w:val="center"/>
              <w:rPr>
                <w:rFonts w:ascii="黑体" w:hAnsi="黑体" w:eastAsia="黑体"/>
                <w:szCs w:val="21"/>
              </w:rPr>
            </w:pPr>
            <w:r>
              <w:rPr>
                <w:rFonts w:hint="eastAsia" w:ascii="黑体" w:hAnsi="黑体" w:eastAsia="黑体"/>
                <w:szCs w:val="21"/>
              </w:rPr>
              <w:t>时</w:t>
            </w:r>
            <w:r>
              <w:rPr>
                <w:rFonts w:ascii="黑体" w:hAnsi="黑体" w:eastAsia="黑体"/>
                <w:szCs w:val="21"/>
              </w:rPr>
              <w:t>数</w:t>
            </w:r>
          </w:p>
        </w:tc>
        <w:tc>
          <w:tcPr>
            <w:tcW w:w="4195" w:type="dxa"/>
            <w:gridSpan w:val="6"/>
            <w:vAlign w:val="center"/>
          </w:tcPr>
          <w:p w14:paraId="5EEFD5A4">
            <w:pPr>
              <w:widowControl/>
              <w:jc w:val="center"/>
              <w:rPr>
                <w:rFonts w:ascii="黑体" w:hAnsi="黑体" w:eastAsia="黑体"/>
                <w:szCs w:val="21"/>
              </w:rPr>
            </w:pPr>
            <w:r>
              <w:rPr>
                <w:rFonts w:hint="eastAsia" w:ascii="黑体" w:hAnsi="黑体" w:eastAsia="黑体"/>
                <w:szCs w:val="21"/>
              </w:rPr>
              <w:t>学时</w:t>
            </w:r>
            <w:r>
              <w:rPr>
                <w:rFonts w:ascii="黑体" w:hAnsi="黑体" w:eastAsia="黑体"/>
                <w:szCs w:val="21"/>
              </w:rPr>
              <w:t>分配</w:t>
            </w:r>
          </w:p>
        </w:tc>
        <w:tc>
          <w:tcPr>
            <w:tcW w:w="753" w:type="dxa"/>
            <w:vMerge w:val="restart"/>
            <w:vAlign w:val="center"/>
          </w:tcPr>
          <w:p w14:paraId="5DD1F8BB">
            <w:pPr>
              <w:jc w:val="center"/>
              <w:rPr>
                <w:rFonts w:ascii="黑体" w:hAnsi="黑体" w:eastAsia="黑体"/>
                <w:szCs w:val="21"/>
              </w:rPr>
            </w:pPr>
            <w:r>
              <w:rPr>
                <w:rFonts w:hint="eastAsia" w:ascii="黑体" w:hAnsi="黑体" w:eastAsia="黑体"/>
                <w:szCs w:val="21"/>
              </w:rPr>
              <w:t>占</w:t>
            </w:r>
            <w:r>
              <w:rPr>
                <w:rFonts w:ascii="黑体" w:hAnsi="黑体" w:eastAsia="黑体"/>
                <w:szCs w:val="21"/>
              </w:rPr>
              <w:t>总学时百分比</w:t>
            </w:r>
          </w:p>
        </w:tc>
      </w:tr>
      <w:tr w14:paraId="62A2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67BDDEA3">
            <w:pPr>
              <w:jc w:val="center"/>
              <w:rPr>
                <w:rFonts w:ascii="黑体" w:hAnsi="黑体" w:eastAsia="黑体"/>
                <w:szCs w:val="21"/>
              </w:rPr>
            </w:pPr>
          </w:p>
        </w:tc>
        <w:tc>
          <w:tcPr>
            <w:tcW w:w="426" w:type="dxa"/>
            <w:vMerge w:val="continue"/>
            <w:vAlign w:val="center"/>
          </w:tcPr>
          <w:p w14:paraId="228D3450">
            <w:pPr>
              <w:jc w:val="center"/>
              <w:rPr>
                <w:rFonts w:ascii="黑体" w:hAnsi="黑体" w:eastAsia="黑体"/>
                <w:szCs w:val="21"/>
              </w:rPr>
            </w:pPr>
          </w:p>
        </w:tc>
        <w:tc>
          <w:tcPr>
            <w:tcW w:w="2044" w:type="dxa"/>
            <w:vMerge w:val="continue"/>
            <w:vAlign w:val="center"/>
          </w:tcPr>
          <w:p w14:paraId="0DECCE62">
            <w:pPr>
              <w:jc w:val="center"/>
              <w:rPr>
                <w:rFonts w:ascii="黑体" w:hAnsi="黑体" w:eastAsia="黑体"/>
                <w:szCs w:val="21"/>
              </w:rPr>
            </w:pPr>
          </w:p>
        </w:tc>
        <w:tc>
          <w:tcPr>
            <w:tcW w:w="780" w:type="dxa"/>
            <w:vMerge w:val="continue"/>
            <w:vAlign w:val="center"/>
          </w:tcPr>
          <w:p w14:paraId="0DF85186">
            <w:pPr>
              <w:jc w:val="center"/>
              <w:rPr>
                <w:rFonts w:ascii="黑体" w:hAnsi="黑体" w:eastAsia="黑体"/>
                <w:szCs w:val="21"/>
              </w:rPr>
            </w:pPr>
          </w:p>
        </w:tc>
        <w:tc>
          <w:tcPr>
            <w:tcW w:w="1241" w:type="dxa"/>
            <w:gridSpan w:val="2"/>
            <w:vAlign w:val="center"/>
          </w:tcPr>
          <w:p w14:paraId="35D6F707">
            <w:pPr>
              <w:widowControl/>
              <w:jc w:val="center"/>
              <w:rPr>
                <w:rFonts w:ascii="黑体" w:hAnsi="黑体" w:eastAsia="黑体"/>
                <w:szCs w:val="21"/>
              </w:rPr>
            </w:pPr>
            <w:r>
              <w:rPr>
                <w:rFonts w:hint="eastAsia" w:ascii="黑体" w:hAnsi="黑体" w:eastAsia="黑体"/>
                <w:szCs w:val="21"/>
              </w:rPr>
              <w:t>第一学年</w:t>
            </w:r>
          </w:p>
        </w:tc>
        <w:tc>
          <w:tcPr>
            <w:tcW w:w="1408" w:type="dxa"/>
            <w:gridSpan w:val="2"/>
            <w:vAlign w:val="center"/>
          </w:tcPr>
          <w:p w14:paraId="0D653D6A">
            <w:pPr>
              <w:widowControl/>
              <w:jc w:val="center"/>
              <w:rPr>
                <w:rFonts w:ascii="黑体" w:hAnsi="黑体" w:eastAsia="黑体"/>
                <w:szCs w:val="21"/>
              </w:rPr>
            </w:pPr>
            <w:r>
              <w:rPr>
                <w:rFonts w:hint="eastAsia" w:ascii="黑体" w:hAnsi="黑体" w:eastAsia="黑体"/>
                <w:szCs w:val="21"/>
              </w:rPr>
              <w:t>第二学年</w:t>
            </w:r>
          </w:p>
        </w:tc>
        <w:tc>
          <w:tcPr>
            <w:tcW w:w="1546" w:type="dxa"/>
            <w:gridSpan w:val="2"/>
            <w:vAlign w:val="center"/>
          </w:tcPr>
          <w:p w14:paraId="1A96DAFC">
            <w:pPr>
              <w:widowControl/>
              <w:jc w:val="center"/>
              <w:rPr>
                <w:rFonts w:ascii="黑体" w:hAnsi="黑体" w:eastAsia="黑体"/>
                <w:szCs w:val="21"/>
              </w:rPr>
            </w:pPr>
            <w:r>
              <w:rPr>
                <w:rFonts w:hint="eastAsia" w:ascii="黑体" w:hAnsi="黑体" w:eastAsia="黑体"/>
                <w:szCs w:val="21"/>
              </w:rPr>
              <w:t>第三</w:t>
            </w:r>
            <w:r>
              <w:rPr>
                <w:rFonts w:ascii="黑体" w:hAnsi="黑体" w:eastAsia="黑体"/>
                <w:szCs w:val="21"/>
              </w:rPr>
              <w:t>学年</w:t>
            </w:r>
          </w:p>
        </w:tc>
        <w:tc>
          <w:tcPr>
            <w:tcW w:w="753" w:type="dxa"/>
            <w:vMerge w:val="continue"/>
            <w:vAlign w:val="center"/>
          </w:tcPr>
          <w:p w14:paraId="68708BD9">
            <w:pPr>
              <w:jc w:val="center"/>
              <w:rPr>
                <w:rFonts w:ascii="黑体" w:hAnsi="黑体" w:eastAsia="黑体"/>
                <w:szCs w:val="21"/>
              </w:rPr>
            </w:pPr>
          </w:p>
        </w:tc>
      </w:tr>
      <w:tr w14:paraId="0D2A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418F3F35">
            <w:pPr>
              <w:jc w:val="center"/>
              <w:rPr>
                <w:rFonts w:ascii="黑体" w:hAnsi="黑体" w:eastAsia="黑体"/>
                <w:szCs w:val="21"/>
              </w:rPr>
            </w:pPr>
          </w:p>
        </w:tc>
        <w:tc>
          <w:tcPr>
            <w:tcW w:w="426" w:type="dxa"/>
            <w:vMerge w:val="continue"/>
            <w:vAlign w:val="center"/>
          </w:tcPr>
          <w:p w14:paraId="5CF393C6">
            <w:pPr>
              <w:jc w:val="center"/>
              <w:rPr>
                <w:rFonts w:ascii="黑体" w:hAnsi="黑体" w:eastAsia="黑体"/>
                <w:szCs w:val="21"/>
              </w:rPr>
            </w:pPr>
          </w:p>
        </w:tc>
        <w:tc>
          <w:tcPr>
            <w:tcW w:w="2044" w:type="dxa"/>
            <w:vMerge w:val="continue"/>
            <w:vAlign w:val="center"/>
          </w:tcPr>
          <w:p w14:paraId="6AB4088A">
            <w:pPr>
              <w:jc w:val="center"/>
              <w:rPr>
                <w:rFonts w:ascii="黑体" w:hAnsi="黑体" w:eastAsia="黑体"/>
                <w:szCs w:val="21"/>
              </w:rPr>
            </w:pPr>
          </w:p>
        </w:tc>
        <w:tc>
          <w:tcPr>
            <w:tcW w:w="780" w:type="dxa"/>
            <w:vMerge w:val="continue"/>
            <w:vAlign w:val="center"/>
          </w:tcPr>
          <w:p w14:paraId="3AA37A51">
            <w:pPr>
              <w:jc w:val="center"/>
              <w:rPr>
                <w:rFonts w:ascii="黑体" w:hAnsi="黑体" w:eastAsia="黑体"/>
                <w:szCs w:val="21"/>
              </w:rPr>
            </w:pPr>
          </w:p>
        </w:tc>
        <w:tc>
          <w:tcPr>
            <w:tcW w:w="600" w:type="dxa"/>
            <w:vAlign w:val="center"/>
          </w:tcPr>
          <w:p w14:paraId="4DF370AD">
            <w:pPr>
              <w:widowControl/>
              <w:jc w:val="center"/>
              <w:rPr>
                <w:rFonts w:ascii="黑体" w:hAnsi="黑体" w:eastAsia="黑体"/>
                <w:szCs w:val="21"/>
              </w:rPr>
            </w:pPr>
            <w:r>
              <w:rPr>
                <w:rFonts w:hint="eastAsia" w:ascii="黑体" w:hAnsi="黑体" w:eastAsia="黑体"/>
                <w:szCs w:val="21"/>
              </w:rPr>
              <w:t>1</w:t>
            </w:r>
          </w:p>
        </w:tc>
        <w:tc>
          <w:tcPr>
            <w:tcW w:w="641" w:type="dxa"/>
            <w:vAlign w:val="center"/>
          </w:tcPr>
          <w:p w14:paraId="03AF8658">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6827B745">
            <w:pPr>
              <w:widowControl/>
              <w:jc w:val="center"/>
              <w:rPr>
                <w:rFonts w:ascii="黑体" w:hAnsi="黑体" w:eastAsia="黑体"/>
                <w:szCs w:val="21"/>
              </w:rPr>
            </w:pPr>
            <w:r>
              <w:rPr>
                <w:rFonts w:ascii="黑体" w:hAnsi="黑体" w:eastAsia="黑体"/>
                <w:szCs w:val="21"/>
              </w:rPr>
              <w:t>3</w:t>
            </w:r>
          </w:p>
        </w:tc>
        <w:tc>
          <w:tcPr>
            <w:tcW w:w="704" w:type="dxa"/>
            <w:vAlign w:val="center"/>
          </w:tcPr>
          <w:p w14:paraId="6A124747">
            <w:pPr>
              <w:widowControl/>
              <w:jc w:val="center"/>
              <w:rPr>
                <w:rFonts w:ascii="黑体" w:hAnsi="黑体" w:eastAsia="黑体"/>
                <w:szCs w:val="21"/>
              </w:rPr>
            </w:pPr>
            <w:r>
              <w:rPr>
                <w:rFonts w:hint="eastAsia" w:ascii="黑体" w:hAnsi="黑体" w:eastAsia="黑体"/>
                <w:szCs w:val="21"/>
              </w:rPr>
              <w:t>4</w:t>
            </w:r>
          </w:p>
        </w:tc>
        <w:tc>
          <w:tcPr>
            <w:tcW w:w="704" w:type="dxa"/>
            <w:vAlign w:val="center"/>
          </w:tcPr>
          <w:p w14:paraId="2B6E8E0A">
            <w:pPr>
              <w:widowControl/>
              <w:jc w:val="center"/>
              <w:rPr>
                <w:rFonts w:ascii="黑体" w:hAnsi="黑体" w:eastAsia="黑体"/>
                <w:szCs w:val="21"/>
              </w:rPr>
            </w:pPr>
            <w:r>
              <w:rPr>
                <w:rFonts w:hint="eastAsia" w:ascii="黑体" w:hAnsi="黑体" w:eastAsia="黑体"/>
                <w:szCs w:val="21"/>
              </w:rPr>
              <w:t>5</w:t>
            </w:r>
          </w:p>
        </w:tc>
        <w:tc>
          <w:tcPr>
            <w:tcW w:w="842" w:type="dxa"/>
            <w:vAlign w:val="center"/>
          </w:tcPr>
          <w:p w14:paraId="07C3B339">
            <w:pPr>
              <w:widowControl/>
              <w:jc w:val="center"/>
              <w:rPr>
                <w:rFonts w:ascii="黑体" w:hAnsi="黑体" w:eastAsia="黑体"/>
                <w:szCs w:val="21"/>
              </w:rPr>
            </w:pPr>
            <w:r>
              <w:rPr>
                <w:rFonts w:hint="eastAsia" w:ascii="黑体" w:hAnsi="黑体" w:eastAsia="黑体"/>
                <w:szCs w:val="21"/>
              </w:rPr>
              <w:t>6</w:t>
            </w:r>
          </w:p>
        </w:tc>
        <w:tc>
          <w:tcPr>
            <w:tcW w:w="753" w:type="dxa"/>
            <w:vMerge w:val="continue"/>
            <w:vAlign w:val="center"/>
          </w:tcPr>
          <w:p w14:paraId="4FDFC488">
            <w:pPr>
              <w:jc w:val="center"/>
              <w:rPr>
                <w:rFonts w:ascii="黑体" w:hAnsi="黑体" w:eastAsia="黑体"/>
                <w:szCs w:val="21"/>
              </w:rPr>
            </w:pPr>
          </w:p>
        </w:tc>
      </w:tr>
      <w:tr w14:paraId="63C6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5320FEEC">
            <w:pPr>
              <w:widowControl/>
              <w:jc w:val="center"/>
              <w:rPr>
                <w:rFonts w:ascii="黑体" w:hAnsi="黑体" w:eastAsia="黑体"/>
                <w:szCs w:val="21"/>
              </w:rPr>
            </w:pPr>
          </w:p>
        </w:tc>
        <w:tc>
          <w:tcPr>
            <w:tcW w:w="426" w:type="dxa"/>
            <w:vMerge w:val="continue"/>
            <w:vAlign w:val="center"/>
          </w:tcPr>
          <w:p w14:paraId="5AC92948">
            <w:pPr>
              <w:widowControl/>
              <w:jc w:val="center"/>
              <w:rPr>
                <w:rFonts w:ascii="黑体" w:hAnsi="黑体" w:eastAsia="黑体"/>
                <w:szCs w:val="21"/>
              </w:rPr>
            </w:pPr>
          </w:p>
        </w:tc>
        <w:tc>
          <w:tcPr>
            <w:tcW w:w="2044" w:type="dxa"/>
            <w:vMerge w:val="continue"/>
            <w:vAlign w:val="center"/>
          </w:tcPr>
          <w:p w14:paraId="7ACD117D">
            <w:pPr>
              <w:widowControl/>
              <w:jc w:val="center"/>
              <w:rPr>
                <w:rFonts w:ascii="黑体" w:hAnsi="黑体" w:eastAsia="黑体"/>
                <w:szCs w:val="21"/>
              </w:rPr>
            </w:pPr>
          </w:p>
        </w:tc>
        <w:tc>
          <w:tcPr>
            <w:tcW w:w="780" w:type="dxa"/>
            <w:vMerge w:val="continue"/>
            <w:vAlign w:val="center"/>
          </w:tcPr>
          <w:p w14:paraId="65912599">
            <w:pPr>
              <w:widowControl/>
              <w:jc w:val="center"/>
              <w:rPr>
                <w:rFonts w:ascii="黑体" w:hAnsi="黑体" w:eastAsia="黑体"/>
                <w:szCs w:val="21"/>
              </w:rPr>
            </w:pPr>
          </w:p>
        </w:tc>
        <w:tc>
          <w:tcPr>
            <w:tcW w:w="600" w:type="dxa"/>
            <w:vAlign w:val="center"/>
          </w:tcPr>
          <w:p w14:paraId="2270A888">
            <w:pPr>
              <w:widowControl/>
              <w:jc w:val="center"/>
              <w:rPr>
                <w:rFonts w:ascii="黑体" w:hAnsi="黑体" w:eastAsia="黑体"/>
                <w:szCs w:val="21"/>
              </w:rPr>
            </w:pPr>
            <w:r>
              <w:rPr>
                <w:rFonts w:hint="eastAsia" w:ascii="黑体" w:hAnsi="黑体" w:eastAsia="黑体"/>
                <w:szCs w:val="21"/>
              </w:rPr>
              <w:t>18周</w:t>
            </w:r>
          </w:p>
        </w:tc>
        <w:tc>
          <w:tcPr>
            <w:tcW w:w="641" w:type="dxa"/>
            <w:vAlign w:val="center"/>
          </w:tcPr>
          <w:p w14:paraId="5C1F370D">
            <w:pPr>
              <w:widowControl/>
              <w:jc w:val="center"/>
              <w:rPr>
                <w:rFonts w:ascii="黑体" w:hAnsi="黑体" w:eastAsia="黑体"/>
                <w:szCs w:val="21"/>
              </w:rPr>
            </w:pPr>
            <w:r>
              <w:rPr>
                <w:rFonts w:hint="eastAsia" w:ascii="黑体" w:hAnsi="黑体" w:eastAsia="黑体"/>
                <w:szCs w:val="21"/>
              </w:rPr>
              <w:t>18周</w:t>
            </w:r>
          </w:p>
        </w:tc>
        <w:tc>
          <w:tcPr>
            <w:tcW w:w="704" w:type="dxa"/>
            <w:vAlign w:val="center"/>
          </w:tcPr>
          <w:p w14:paraId="075F6632">
            <w:pPr>
              <w:widowControl/>
              <w:jc w:val="center"/>
              <w:rPr>
                <w:rFonts w:ascii="黑体" w:hAnsi="黑体" w:eastAsia="黑体"/>
                <w:szCs w:val="21"/>
              </w:rPr>
            </w:pPr>
            <w:r>
              <w:rPr>
                <w:rFonts w:hint="eastAsia" w:ascii="黑体" w:hAnsi="黑体" w:eastAsia="黑体"/>
                <w:szCs w:val="21"/>
              </w:rPr>
              <w:t>18周</w:t>
            </w:r>
          </w:p>
        </w:tc>
        <w:tc>
          <w:tcPr>
            <w:tcW w:w="704" w:type="dxa"/>
            <w:vAlign w:val="center"/>
          </w:tcPr>
          <w:p w14:paraId="0304E688">
            <w:pPr>
              <w:widowControl/>
              <w:jc w:val="center"/>
              <w:rPr>
                <w:rFonts w:ascii="黑体" w:hAnsi="黑体" w:eastAsia="黑体"/>
                <w:szCs w:val="21"/>
              </w:rPr>
            </w:pPr>
            <w:r>
              <w:rPr>
                <w:rFonts w:hint="eastAsia" w:ascii="黑体" w:hAnsi="黑体" w:eastAsia="黑体"/>
                <w:szCs w:val="21"/>
              </w:rPr>
              <w:t>18周</w:t>
            </w:r>
          </w:p>
        </w:tc>
        <w:tc>
          <w:tcPr>
            <w:tcW w:w="704" w:type="dxa"/>
            <w:vAlign w:val="center"/>
          </w:tcPr>
          <w:p w14:paraId="7C0F443A">
            <w:pPr>
              <w:widowControl/>
              <w:jc w:val="center"/>
              <w:rPr>
                <w:rFonts w:ascii="黑体" w:hAnsi="黑体" w:eastAsia="黑体"/>
                <w:szCs w:val="21"/>
              </w:rPr>
            </w:pPr>
            <w:r>
              <w:rPr>
                <w:rFonts w:hint="eastAsia" w:ascii="黑体" w:hAnsi="黑体" w:eastAsia="黑体"/>
                <w:szCs w:val="21"/>
              </w:rPr>
              <w:t>18周</w:t>
            </w:r>
          </w:p>
        </w:tc>
        <w:tc>
          <w:tcPr>
            <w:tcW w:w="842" w:type="dxa"/>
            <w:vAlign w:val="center"/>
          </w:tcPr>
          <w:p w14:paraId="500DBC34">
            <w:pPr>
              <w:widowControl/>
              <w:jc w:val="center"/>
              <w:rPr>
                <w:rFonts w:ascii="黑体" w:hAnsi="黑体" w:eastAsia="黑体"/>
                <w:szCs w:val="21"/>
              </w:rPr>
            </w:pPr>
            <w:r>
              <w:rPr>
                <w:rFonts w:hint="eastAsia" w:ascii="黑体" w:hAnsi="黑体" w:eastAsia="黑体"/>
                <w:szCs w:val="21"/>
              </w:rPr>
              <w:t>18周</w:t>
            </w:r>
          </w:p>
        </w:tc>
        <w:tc>
          <w:tcPr>
            <w:tcW w:w="753" w:type="dxa"/>
            <w:vMerge w:val="continue"/>
            <w:vAlign w:val="center"/>
          </w:tcPr>
          <w:p w14:paraId="1D9CF341">
            <w:pPr>
              <w:widowControl/>
              <w:jc w:val="center"/>
              <w:rPr>
                <w:rFonts w:ascii="黑体" w:hAnsi="黑体" w:eastAsia="黑体"/>
                <w:szCs w:val="21"/>
              </w:rPr>
            </w:pPr>
          </w:p>
        </w:tc>
      </w:tr>
      <w:tr w14:paraId="4FA9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vAlign w:val="center"/>
          </w:tcPr>
          <w:p w14:paraId="2B1445E6">
            <w:pPr>
              <w:widowControl/>
              <w:jc w:val="center"/>
              <w:rPr>
                <w:rFonts w:ascii="黑体" w:hAnsi="黑体" w:eastAsia="黑体"/>
                <w:szCs w:val="21"/>
              </w:rPr>
            </w:pPr>
            <w:r>
              <w:rPr>
                <w:rFonts w:hint="eastAsia" w:ascii="黑体" w:hAnsi="黑体" w:eastAsia="黑体"/>
                <w:szCs w:val="21"/>
              </w:rPr>
              <w:t>公</w:t>
            </w:r>
          </w:p>
          <w:p w14:paraId="529A2C15">
            <w:pPr>
              <w:widowControl/>
              <w:jc w:val="center"/>
              <w:rPr>
                <w:rFonts w:ascii="黑体" w:hAnsi="黑体" w:eastAsia="黑体"/>
                <w:szCs w:val="21"/>
              </w:rPr>
            </w:pPr>
            <w:r>
              <w:rPr>
                <w:rFonts w:hint="eastAsia" w:ascii="黑体" w:hAnsi="黑体" w:eastAsia="黑体"/>
                <w:szCs w:val="21"/>
              </w:rPr>
              <w:t>共</w:t>
            </w:r>
          </w:p>
          <w:p w14:paraId="621965BB">
            <w:pPr>
              <w:widowControl/>
              <w:jc w:val="center"/>
              <w:rPr>
                <w:rFonts w:ascii="黑体" w:hAnsi="黑体" w:eastAsia="黑体"/>
                <w:szCs w:val="21"/>
              </w:rPr>
            </w:pPr>
            <w:r>
              <w:rPr>
                <w:rFonts w:hint="eastAsia" w:ascii="黑体" w:hAnsi="黑体" w:eastAsia="黑体"/>
                <w:szCs w:val="21"/>
              </w:rPr>
              <w:t>基</w:t>
            </w:r>
          </w:p>
          <w:p w14:paraId="4585C194">
            <w:pPr>
              <w:widowControl/>
              <w:jc w:val="center"/>
              <w:rPr>
                <w:rFonts w:ascii="黑体" w:hAnsi="黑体" w:eastAsia="黑体"/>
                <w:szCs w:val="21"/>
              </w:rPr>
            </w:pPr>
            <w:r>
              <w:rPr>
                <w:rFonts w:hint="eastAsia" w:ascii="黑体" w:hAnsi="黑体" w:eastAsia="黑体"/>
                <w:szCs w:val="21"/>
              </w:rPr>
              <w:t>础</w:t>
            </w:r>
          </w:p>
          <w:p w14:paraId="510A76EC">
            <w:pPr>
              <w:widowControl/>
              <w:jc w:val="center"/>
              <w:rPr>
                <w:rFonts w:ascii="黑体" w:hAnsi="黑体" w:eastAsia="黑体"/>
                <w:szCs w:val="21"/>
              </w:rPr>
            </w:pPr>
            <w:r>
              <w:rPr>
                <w:rFonts w:ascii="黑体" w:hAnsi="黑体" w:eastAsia="黑体"/>
                <w:szCs w:val="21"/>
              </w:rPr>
              <w:t>课</w:t>
            </w:r>
          </w:p>
        </w:tc>
        <w:tc>
          <w:tcPr>
            <w:tcW w:w="426" w:type="dxa"/>
            <w:vAlign w:val="center"/>
          </w:tcPr>
          <w:p w14:paraId="7E7DF0F1">
            <w:pPr>
              <w:widowControl/>
              <w:jc w:val="center"/>
              <w:rPr>
                <w:rFonts w:ascii="黑体" w:hAnsi="黑体" w:eastAsia="黑体"/>
                <w:szCs w:val="21"/>
              </w:rPr>
            </w:pPr>
            <w:r>
              <w:rPr>
                <w:rFonts w:hint="eastAsia" w:ascii="黑体" w:hAnsi="黑体" w:eastAsia="黑体"/>
                <w:szCs w:val="21"/>
              </w:rPr>
              <w:t>1</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3C2FFCAF">
            <w:pPr>
              <w:widowControl/>
              <w:jc w:val="left"/>
              <w:rPr>
                <w:rFonts w:ascii="Arial" w:hAnsi="Arial" w:eastAsia="等线" w:cs="Arial"/>
                <w:color w:val="242021"/>
                <w:sz w:val="22"/>
              </w:rPr>
            </w:pPr>
            <w:r>
              <w:rPr>
                <w:rFonts w:hint="eastAsia" w:cs="Arial"/>
                <w:color w:val="242021"/>
                <w:sz w:val="22"/>
              </w:rPr>
              <w:t>中国特色社会主义</w:t>
            </w:r>
          </w:p>
        </w:tc>
        <w:tc>
          <w:tcPr>
            <w:tcW w:w="780" w:type="dxa"/>
            <w:vAlign w:val="center"/>
          </w:tcPr>
          <w:p w14:paraId="6F0A45B7">
            <w:pPr>
              <w:widowControl/>
              <w:jc w:val="center"/>
              <w:rPr>
                <w:rFonts w:ascii="黑体" w:hAnsi="黑体" w:eastAsia="黑体"/>
                <w:szCs w:val="21"/>
              </w:rPr>
            </w:pPr>
            <w:r>
              <w:rPr>
                <w:rFonts w:hint="eastAsia" w:ascii="黑体" w:hAnsi="黑体" w:eastAsia="黑体"/>
                <w:szCs w:val="21"/>
              </w:rPr>
              <w:t>36</w:t>
            </w:r>
          </w:p>
        </w:tc>
        <w:tc>
          <w:tcPr>
            <w:tcW w:w="600" w:type="dxa"/>
            <w:vAlign w:val="center"/>
          </w:tcPr>
          <w:p w14:paraId="73A3CAC4">
            <w:pPr>
              <w:widowControl/>
              <w:jc w:val="center"/>
              <w:rPr>
                <w:rFonts w:ascii="黑体" w:hAnsi="黑体" w:eastAsia="黑体"/>
                <w:szCs w:val="21"/>
              </w:rPr>
            </w:pPr>
            <w:r>
              <w:rPr>
                <w:rFonts w:hint="eastAsia" w:ascii="黑体" w:hAnsi="黑体" w:eastAsia="黑体"/>
                <w:szCs w:val="21"/>
              </w:rPr>
              <w:t>2</w:t>
            </w:r>
          </w:p>
        </w:tc>
        <w:tc>
          <w:tcPr>
            <w:tcW w:w="641" w:type="dxa"/>
            <w:vAlign w:val="center"/>
          </w:tcPr>
          <w:p w14:paraId="4DE56F95">
            <w:pPr>
              <w:widowControl/>
              <w:jc w:val="center"/>
              <w:rPr>
                <w:rFonts w:ascii="黑体" w:hAnsi="黑体" w:eastAsia="黑体"/>
                <w:szCs w:val="21"/>
              </w:rPr>
            </w:pPr>
          </w:p>
        </w:tc>
        <w:tc>
          <w:tcPr>
            <w:tcW w:w="704" w:type="dxa"/>
            <w:vAlign w:val="center"/>
          </w:tcPr>
          <w:p w14:paraId="16284C16">
            <w:pPr>
              <w:widowControl/>
              <w:jc w:val="center"/>
              <w:rPr>
                <w:rFonts w:ascii="黑体" w:hAnsi="黑体" w:eastAsia="黑体"/>
                <w:szCs w:val="21"/>
              </w:rPr>
            </w:pPr>
          </w:p>
        </w:tc>
        <w:tc>
          <w:tcPr>
            <w:tcW w:w="704" w:type="dxa"/>
            <w:vAlign w:val="center"/>
          </w:tcPr>
          <w:p w14:paraId="60DF8011">
            <w:pPr>
              <w:widowControl/>
              <w:jc w:val="center"/>
              <w:rPr>
                <w:rFonts w:ascii="黑体" w:hAnsi="黑体" w:eastAsia="黑体"/>
                <w:szCs w:val="21"/>
              </w:rPr>
            </w:pPr>
          </w:p>
        </w:tc>
        <w:tc>
          <w:tcPr>
            <w:tcW w:w="704" w:type="dxa"/>
            <w:vAlign w:val="center"/>
          </w:tcPr>
          <w:p w14:paraId="3B3BA6D9">
            <w:pPr>
              <w:widowControl/>
              <w:jc w:val="center"/>
              <w:rPr>
                <w:rFonts w:ascii="黑体" w:hAnsi="黑体" w:eastAsia="黑体"/>
                <w:szCs w:val="21"/>
              </w:rPr>
            </w:pPr>
          </w:p>
        </w:tc>
        <w:tc>
          <w:tcPr>
            <w:tcW w:w="842" w:type="dxa"/>
            <w:vAlign w:val="center"/>
          </w:tcPr>
          <w:p w14:paraId="574719BD">
            <w:pPr>
              <w:widowControl/>
              <w:jc w:val="center"/>
              <w:rPr>
                <w:rFonts w:ascii="黑体" w:hAnsi="黑体" w:eastAsia="黑体"/>
                <w:szCs w:val="21"/>
              </w:rPr>
            </w:pPr>
          </w:p>
        </w:tc>
        <w:tc>
          <w:tcPr>
            <w:tcW w:w="753" w:type="dxa"/>
            <w:vMerge w:val="restart"/>
            <w:vAlign w:val="center"/>
          </w:tcPr>
          <w:p w14:paraId="68F5633A">
            <w:pPr>
              <w:widowControl/>
              <w:jc w:val="center"/>
              <w:rPr>
                <w:rFonts w:ascii="黑体" w:hAnsi="黑体" w:eastAsia="黑体"/>
                <w:szCs w:val="21"/>
              </w:rPr>
            </w:pPr>
            <w:r>
              <w:rPr>
                <w:rFonts w:hint="eastAsia" w:ascii="黑体" w:hAnsi="黑体" w:eastAsia="黑体"/>
                <w:szCs w:val="21"/>
              </w:rPr>
              <w:t>34%</w:t>
            </w:r>
          </w:p>
        </w:tc>
      </w:tr>
      <w:tr w14:paraId="0081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66CBF45B">
            <w:pPr>
              <w:widowControl/>
              <w:jc w:val="center"/>
              <w:rPr>
                <w:rFonts w:ascii="黑体" w:hAnsi="黑体" w:eastAsia="黑体"/>
                <w:szCs w:val="21"/>
              </w:rPr>
            </w:pPr>
          </w:p>
        </w:tc>
        <w:tc>
          <w:tcPr>
            <w:tcW w:w="426" w:type="dxa"/>
            <w:vAlign w:val="center"/>
          </w:tcPr>
          <w:p w14:paraId="403B2635">
            <w:pPr>
              <w:widowControl/>
              <w:jc w:val="center"/>
              <w:rPr>
                <w:rFonts w:ascii="黑体" w:hAnsi="黑体" w:eastAsia="黑体"/>
                <w:szCs w:val="21"/>
              </w:rPr>
            </w:pPr>
            <w:r>
              <w:rPr>
                <w:rFonts w:hint="eastAsia" w:ascii="黑体" w:hAnsi="黑体" w:eastAsia="黑体"/>
                <w:szCs w:val="21"/>
              </w:rPr>
              <w:t>2</w:t>
            </w:r>
          </w:p>
        </w:tc>
        <w:tc>
          <w:tcPr>
            <w:tcW w:w="2044" w:type="dxa"/>
            <w:tcBorders>
              <w:top w:val="nil"/>
              <w:left w:val="single" w:color="auto" w:sz="4" w:space="0"/>
              <w:bottom w:val="single" w:color="auto" w:sz="4" w:space="0"/>
              <w:right w:val="single" w:color="auto" w:sz="4" w:space="0"/>
            </w:tcBorders>
            <w:shd w:val="clear" w:color="auto" w:fill="auto"/>
            <w:vAlign w:val="center"/>
          </w:tcPr>
          <w:p w14:paraId="74CD29D8">
            <w:pPr>
              <w:rPr>
                <w:rFonts w:ascii="Arial" w:hAnsi="Arial" w:eastAsia="等线" w:cs="Arial"/>
                <w:color w:val="242021"/>
                <w:sz w:val="22"/>
              </w:rPr>
            </w:pPr>
            <w:r>
              <w:rPr>
                <w:rFonts w:ascii="Arial" w:hAnsi="Arial" w:eastAsia="等线" w:cs="Arial"/>
                <w:color w:val="242021"/>
                <w:sz w:val="22"/>
              </w:rPr>
              <w:t>心理健康与职业生涯</w:t>
            </w:r>
          </w:p>
        </w:tc>
        <w:tc>
          <w:tcPr>
            <w:tcW w:w="780" w:type="dxa"/>
            <w:vAlign w:val="center"/>
          </w:tcPr>
          <w:p w14:paraId="76077632">
            <w:pPr>
              <w:widowControl/>
              <w:jc w:val="center"/>
              <w:rPr>
                <w:rFonts w:ascii="黑体" w:hAnsi="黑体" w:eastAsia="黑体"/>
                <w:szCs w:val="21"/>
              </w:rPr>
            </w:pPr>
            <w:r>
              <w:rPr>
                <w:rFonts w:hint="eastAsia" w:ascii="黑体" w:hAnsi="黑体" w:eastAsia="黑体"/>
                <w:szCs w:val="21"/>
              </w:rPr>
              <w:t>36</w:t>
            </w:r>
          </w:p>
        </w:tc>
        <w:tc>
          <w:tcPr>
            <w:tcW w:w="600" w:type="dxa"/>
            <w:vAlign w:val="center"/>
          </w:tcPr>
          <w:p w14:paraId="0C8CF314">
            <w:pPr>
              <w:widowControl/>
              <w:jc w:val="center"/>
              <w:rPr>
                <w:rFonts w:ascii="黑体" w:hAnsi="黑体" w:eastAsia="黑体"/>
                <w:szCs w:val="21"/>
              </w:rPr>
            </w:pPr>
          </w:p>
        </w:tc>
        <w:tc>
          <w:tcPr>
            <w:tcW w:w="641" w:type="dxa"/>
            <w:vAlign w:val="center"/>
          </w:tcPr>
          <w:p w14:paraId="01EBFC85">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2DE41E55">
            <w:pPr>
              <w:widowControl/>
              <w:jc w:val="center"/>
              <w:rPr>
                <w:rFonts w:ascii="黑体" w:hAnsi="黑体" w:eastAsia="黑体"/>
                <w:szCs w:val="21"/>
              </w:rPr>
            </w:pPr>
          </w:p>
        </w:tc>
        <w:tc>
          <w:tcPr>
            <w:tcW w:w="704" w:type="dxa"/>
            <w:vAlign w:val="center"/>
          </w:tcPr>
          <w:p w14:paraId="130DF8F4">
            <w:pPr>
              <w:widowControl/>
              <w:jc w:val="center"/>
              <w:rPr>
                <w:rFonts w:ascii="黑体" w:hAnsi="黑体" w:eastAsia="黑体"/>
                <w:szCs w:val="21"/>
              </w:rPr>
            </w:pPr>
          </w:p>
        </w:tc>
        <w:tc>
          <w:tcPr>
            <w:tcW w:w="704" w:type="dxa"/>
            <w:vAlign w:val="center"/>
          </w:tcPr>
          <w:p w14:paraId="4180EFFC">
            <w:pPr>
              <w:widowControl/>
              <w:jc w:val="center"/>
              <w:rPr>
                <w:rFonts w:ascii="黑体" w:hAnsi="黑体" w:eastAsia="黑体"/>
                <w:szCs w:val="21"/>
              </w:rPr>
            </w:pPr>
          </w:p>
        </w:tc>
        <w:tc>
          <w:tcPr>
            <w:tcW w:w="842" w:type="dxa"/>
            <w:vAlign w:val="center"/>
          </w:tcPr>
          <w:p w14:paraId="7F5C882F">
            <w:pPr>
              <w:widowControl/>
              <w:jc w:val="center"/>
              <w:rPr>
                <w:rFonts w:ascii="黑体" w:hAnsi="黑体" w:eastAsia="黑体"/>
                <w:szCs w:val="21"/>
              </w:rPr>
            </w:pPr>
          </w:p>
        </w:tc>
        <w:tc>
          <w:tcPr>
            <w:tcW w:w="753" w:type="dxa"/>
            <w:vMerge w:val="continue"/>
            <w:vAlign w:val="center"/>
          </w:tcPr>
          <w:p w14:paraId="7F4C3031">
            <w:pPr>
              <w:widowControl/>
              <w:jc w:val="center"/>
              <w:rPr>
                <w:rFonts w:ascii="黑体" w:hAnsi="黑体" w:eastAsia="黑体"/>
                <w:szCs w:val="21"/>
              </w:rPr>
            </w:pPr>
          </w:p>
        </w:tc>
      </w:tr>
      <w:tr w14:paraId="57BB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39F5471C">
            <w:pPr>
              <w:widowControl/>
              <w:jc w:val="center"/>
              <w:rPr>
                <w:rFonts w:ascii="黑体" w:hAnsi="黑体" w:eastAsia="黑体"/>
                <w:szCs w:val="21"/>
              </w:rPr>
            </w:pPr>
          </w:p>
        </w:tc>
        <w:tc>
          <w:tcPr>
            <w:tcW w:w="426" w:type="dxa"/>
            <w:vAlign w:val="center"/>
          </w:tcPr>
          <w:p w14:paraId="595D5527">
            <w:pPr>
              <w:widowControl/>
              <w:jc w:val="center"/>
              <w:rPr>
                <w:rFonts w:ascii="黑体" w:hAnsi="黑体" w:eastAsia="黑体"/>
                <w:szCs w:val="21"/>
              </w:rPr>
            </w:pPr>
            <w:r>
              <w:rPr>
                <w:rFonts w:hint="eastAsia" w:ascii="黑体" w:hAnsi="黑体" w:eastAsia="黑体"/>
                <w:szCs w:val="21"/>
              </w:rPr>
              <w:t>3</w:t>
            </w:r>
          </w:p>
        </w:tc>
        <w:tc>
          <w:tcPr>
            <w:tcW w:w="2044" w:type="dxa"/>
            <w:tcBorders>
              <w:top w:val="nil"/>
              <w:left w:val="single" w:color="auto" w:sz="4" w:space="0"/>
              <w:bottom w:val="single" w:color="auto" w:sz="4" w:space="0"/>
              <w:right w:val="single" w:color="auto" w:sz="4" w:space="0"/>
            </w:tcBorders>
            <w:shd w:val="clear" w:color="auto" w:fill="auto"/>
            <w:vAlign w:val="center"/>
          </w:tcPr>
          <w:p w14:paraId="1F95C357">
            <w:pPr>
              <w:rPr>
                <w:rFonts w:ascii="Arial" w:hAnsi="Arial" w:eastAsia="等线" w:cs="Arial"/>
                <w:color w:val="242021"/>
                <w:sz w:val="22"/>
              </w:rPr>
            </w:pPr>
            <w:r>
              <w:rPr>
                <w:rFonts w:ascii="Arial" w:hAnsi="Arial" w:eastAsia="等线" w:cs="Arial"/>
                <w:color w:val="242021"/>
                <w:sz w:val="22"/>
              </w:rPr>
              <w:t>哲学与人生</w:t>
            </w:r>
          </w:p>
        </w:tc>
        <w:tc>
          <w:tcPr>
            <w:tcW w:w="780" w:type="dxa"/>
            <w:vAlign w:val="center"/>
          </w:tcPr>
          <w:p w14:paraId="13F84402">
            <w:pPr>
              <w:widowControl/>
              <w:jc w:val="center"/>
              <w:rPr>
                <w:rFonts w:ascii="黑体" w:hAnsi="黑体" w:eastAsia="黑体"/>
                <w:szCs w:val="21"/>
              </w:rPr>
            </w:pPr>
            <w:r>
              <w:rPr>
                <w:rFonts w:hint="eastAsia" w:ascii="黑体" w:hAnsi="黑体" w:eastAsia="黑体"/>
                <w:szCs w:val="21"/>
              </w:rPr>
              <w:t>36</w:t>
            </w:r>
          </w:p>
        </w:tc>
        <w:tc>
          <w:tcPr>
            <w:tcW w:w="600" w:type="dxa"/>
            <w:vAlign w:val="center"/>
          </w:tcPr>
          <w:p w14:paraId="6728EFC7">
            <w:pPr>
              <w:widowControl/>
              <w:jc w:val="center"/>
              <w:rPr>
                <w:rFonts w:ascii="黑体" w:hAnsi="黑体" w:eastAsia="黑体"/>
                <w:szCs w:val="21"/>
              </w:rPr>
            </w:pPr>
          </w:p>
        </w:tc>
        <w:tc>
          <w:tcPr>
            <w:tcW w:w="641" w:type="dxa"/>
            <w:vAlign w:val="center"/>
          </w:tcPr>
          <w:p w14:paraId="1D220405">
            <w:pPr>
              <w:widowControl/>
              <w:jc w:val="center"/>
              <w:rPr>
                <w:rFonts w:ascii="黑体" w:hAnsi="黑体" w:eastAsia="黑体"/>
                <w:szCs w:val="21"/>
              </w:rPr>
            </w:pPr>
          </w:p>
        </w:tc>
        <w:tc>
          <w:tcPr>
            <w:tcW w:w="704" w:type="dxa"/>
            <w:vAlign w:val="center"/>
          </w:tcPr>
          <w:p w14:paraId="6D56DFE6">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437D9845">
            <w:pPr>
              <w:widowControl/>
              <w:jc w:val="center"/>
              <w:rPr>
                <w:rFonts w:ascii="黑体" w:hAnsi="黑体" w:eastAsia="黑体"/>
                <w:szCs w:val="21"/>
              </w:rPr>
            </w:pPr>
          </w:p>
        </w:tc>
        <w:tc>
          <w:tcPr>
            <w:tcW w:w="704" w:type="dxa"/>
            <w:vAlign w:val="center"/>
          </w:tcPr>
          <w:p w14:paraId="1D52730C">
            <w:pPr>
              <w:widowControl/>
              <w:jc w:val="center"/>
              <w:rPr>
                <w:rFonts w:ascii="黑体" w:hAnsi="黑体" w:eastAsia="黑体"/>
                <w:szCs w:val="21"/>
              </w:rPr>
            </w:pPr>
          </w:p>
        </w:tc>
        <w:tc>
          <w:tcPr>
            <w:tcW w:w="842" w:type="dxa"/>
            <w:vAlign w:val="center"/>
          </w:tcPr>
          <w:p w14:paraId="19E7174A">
            <w:pPr>
              <w:widowControl/>
              <w:jc w:val="center"/>
              <w:rPr>
                <w:rFonts w:ascii="黑体" w:hAnsi="黑体" w:eastAsia="黑体"/>
                <w:szCs w:val="21"/>
              </w:rPr>
            </w:pPr>
          </w:p>
        </w:tc>
        <w:tc>
          <w:tcPr>
            <w:tcW w:w="753" w:type="dxa"/>
            <w:vMerge w:val="continue"/>
            <w:vAlign w:val="center"/>
          </w:tcPr>
          <w:p w14:paraId="5CCE13AF">
            <w:pPr>
              <w:widowControl/>
              <w:jc w:val="center"/>
              <w:rPr>
                <w:rFonts w:ascii="黑体" w:hAnsi="黑体" w:eastAsia="黑体"/>
                <w:szCs w:val="21"/>
              </w:rPr>
            </w:pPr>
          </w:p>
        </w:tc>
      </w:tr>
      <w:tr w14:paraId="72E5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44287CA8">
            <w:pPr>
              <w:widowControl/>
              <w:jc w:val="center"/>
              <w:rPr>
                <w:rFonts w:ascii="黑体" w:hAnsi="黑体" w:eastAsia="黑体"/>
                <w:szCs w:val="21"/>
              </w:rPr>
            </w:pPr>
          </w:p>
        </w:tc>
        <w:tc>
          <w:tcPr>
            <w:tcW w:w="426" w:type="dxa"/>
            <w:vAlign w:val="center"/>
          </w:tcPr>
          <w:p w14:paraId="3FD7726C">
            <w:pPr>
              <w:widowControl/>
              <w:jc w:val="center"/>
              <w:rPr>
                <w:rFonts w:ascii="黑体" w:hAnsi="黑体" w:eastAsia="黑体"/>
                <w:szCs w:val="21"/>
              </w:rPr>
            </w:pPr>
            <w:r>
              <w:rPr>
                <w:rFonts w:hint="eastAsia" w:ascii="黑体" w:hAnsi="黑体" w:eastAsia="黑体"/>
                <w:szCs w:val="21"/>
              </w:rPr>
              <w:t>4</w:t>
            </w:r>
          </w:p>
        </w:tc>
        <w:tc>
          <w:tcPr>
            <w:tcW w:w="2044" w:type="dxa"/>
            <w:tcBorders>
              <w:top w:val="nil"/>
              <w:left w:val="single" w:color="auto" w:sz="4" w:space="0"/>
              <w:bottom w:val="single" w:color="auto" w:sz="4" w:space="0"/>
              <w:right w:val="single" w:color="auto" w:sz="4" w:space="0"/>
            </w:tcBorders>
            <w:shd w:val="clear" w:color="auto" w:fill="auto"/>
            <w:vAlign w:val="center"/>
          </w:tcPr>
          <w:p w14:paraId="4F9ED345">
            <w:pPr>
              <w:rPr>
                <w:rFonts w:ascii="Arial" w:hAnsi="Arial" w:eastAsia="等线" w:cs="Arial"/>
                <w:color w:val="242021"/>
                <w:sz w:val="22"/>
              </w:rPr>
            </w:pPr>
            <w:r>
              <w:rPr>
                <w:rFonts w:ascii="Arial" w:hAnsi="Arial" w:eastAsia="等线" w:cs="Arial"/>
                <w:color w:val="242021"/>
                <w:sz w:val="22"/>
              </w:rPr>
              <w:t>职业道德与法治</w:t>
            </w:r>
          </w:p>
        </w:tc>
        <w:tc>
          <w:tcPr>
            <w:tcW w:w="780" w:type="dxa"/>
            <w:vAlign w:val="center"/>
          </w:tcPr>
          <w:p w14:paraId="0582C38A">
            <w:pPr>
              <w:widowControl/>
              <w:jc w:val="center"/>
              <w:rPr>
                <w:rFonts w:ascii="黑体" w:hAnsi="黑体" w:eastAsia="黑体"/>
                <w:szCs w:val="21"/>
              </w:rPr>
            </w:pPr>
            <w:r>
              <w:rPr>
                <w:rFonts w:hint="eastAsia" w:ascii="黑体" w:hAnsi="黑体" w:eastAsia="黑体"/>
                <w:szCs w:val="21"/>
              </w:rPr>
              <w:t>36</w:t>
            </w:r>
          </w:p>
        </w:tc>
        <w:tc>
          <w:tcPr>
            <w:tcW w:w="600" w:type="dxa"/>
            <w:vAlign w:val="center"/>
          </w:tcPr>
          <w:p w14:paraId="5F695A88">
            <w:pPr>
              <w:widowControl/>
              <w:jc w:val="center"/>
              <w:rPr>
                <w:rFonts w:ascii="黑体" w:hAnsi="黑体" w:eastAsia="黑体"/>
                <w:szCs w:val="21"/>
              </w:rPr>
            </w:pPr>
          </w:p>
        </w:tc>
        <w:tc>
          <w:tcPr>
            <w:tcW w:w="641" w:type="dxa"/>
            <w:vAlign w:val="center"/>
          </w:tcPr>
          <w:p w14:paraId="07087FFE">
            <w:pPr>
              <w:widowControl/>
              <w:jc w:val="center"/>
              <w:rPr>
                <w:rFonts w:ascii="黑体" w:hAnsi="黑体" w:eastAsia="黑体"/>
                <w:szCs w:val="21"/>
              </w:rPr>
            </w:pPr>
          </w:p>
        </w:tc>
        <w:tc>
          <w:tcPr>
            <w:tcW w:w="704" w:type="dxa"/>
            <w:vAlign w:val="center"/>
          </w:tcPr>
          <w:p w14:paraId="648F87D2">
            <w:pPr>
              <w:widowControl/>
              <w:jc w:val="center"/>
              <w:rPr>
                <w:rFonts w:ascii="黑体" w:hAnsi="黑体" w:eastAsia="黑体"/>
                <w:szCs w:val="21"/>
              </w:rPr>
            </w:pPr>
          </w:p>
        </w:tc>
        <w:tc>
          <w:tcPr>
            <w:tcW w:w="704" w:type="dxa"/>
            <w:vAlign w:val="center"/>
          </w:tcPr>
          <w:p w14:paraId="5A33729B">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5C1D1A9D">
            <w:pPr>
              <w:widowControl/>
              <w:jc w:val="center"/>
              <w:rPr>
                <w:rFonts w:ascii="黑体" w:hAnsi="黑体" w:eastAsia="黑体"/>
                <w:szCs w:val="21"/>
              </w:rPr>
            </w:pPr>
          </w:p>
        </w:tc>
        <w:tc>
          <w:tcPr>
            <w:tcW w:w="842" w:type="dxa"/>
            <w:vAlign w:val="center"/>
          </w:tcPr>
          <w:p w14:paraId="47360853">
            <w:pPr>
              <w:widowControl/>
              <w:jc w:val="center"/>
              <w:rPr>
                <w:rFonts w:ascii="黑体" w:hAnsi="黑体" w:eastAsia="黑体"/>
                <w:szCs w:val="21"/>
              </w:rPr>
            </w:pPr>
          </w:p>
        </w:tc>
        <w:tc>
          <w:tcPr>
            <w:tcW w:w="753" w:type="dxa"/>
            <w:vMerge w:val="continue"/>
            <w:vAlign w:val="center"/>
          </w:tcPr>
          <w:p w14:paraId="38987162">
            <w:pPr>
              <w:widowControl/>
              <w:jc w:val="center"/>
              <w:rPr>
                <w:rFonts w:ascii="黑体" w:hAnsi="黑体" w:eastAsia="黑体"/>
                <w:szCs w:val="21"/>
              </w:rPr>
            </w:pPr>
          </w:p>
        </w:tc>
      </w:tr>
      <w:tr w14:paraId="0F54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0A3DD5D2">
            <w:pPr>
              <w:widowControl/>
              <w:jc w:val="center"/>
              <w:rPr>
                <w:rFonts w:ascii="黑体" w:hAnsi="黑体" w:eastAsia="黑体"/>
                <w:szCs w:val="21"/>
              </w:rPr>
            </w:pPr>
          </w:p>
        </w:tc>
        <w:tc>
          <w:tcPr>
            <w:tcW w:w="426" w:type="dxa"/>
            <w:vAlign w:val="center"/>
          </w:tcPr>
          <w:p w14:paraId="03D6E38F">
            <w:pPr>
              <w:widowControl/>
              <w:jc w:val="center"/>
              <w:rPr>
                <w:rFonts w:ascii="黑体" w:hAnsi="黑体" w:eastAsia="黑体"/>
                <w:szCs w:val="21"/>
              </w:rPr>
            </w:pPr>
            <w:r>
              <w:rPr>
                <w:rFonts w:hint="eastAsia" w:ascii="黑体" w:hAnsi="黑体" w:eastAsia="黑体"/>
                <w:szCs w:val="21"/>
              </w:rPr>
              <w:t>5</w:t>
            </w:r>
          </w:p>
        </w:tc>
        <w:tc>
          <w:tcPr>
            <w:tcW w:w="2044" w:type="dxa"/>
            <w:vAlign w:val="center"/>
          </w:tcPr>
          <w:p w14:paraId="07FE6D80">
            <w:pPr>
              <w:widowControl/>
              <w:jc w:val="center"/>
              <w:rPr>
                <w:rFonts w:ascii="黑体" w:hAnsi="黑体" w:eastAsia="黑体"/>
                <w:szCs w:val="21"/>
              </w:rPr>
            </w:pPr>
            <w:r>
              <w:rPr>
                <w:rFonts w:hint="eastAsia" w:ascii="黑体" w:hAnsi="黑体" w:eastAsia="黑体"/>
                <w:szCs w:val="21"/>
              </w:rPr>
              <w:t>语文</w:t>
            </w:r>
          </w:p>
        </w:tc>
        <w:tc>
          <w:tcPr>
            <w:tcW w:w="780" w:type="dxa"/>
            <w:vAlign w:val="center"/>
          </w:tcPr>
          <w:p w14:paraId="7012E715">
            <w:pPr>
              <w:widowControl/>
              <w:jc w:val="center"/>
              <w:rPr>
                <w:rFonts w:ascii="黑体" w:hAnsi="黑体" w:eastAsia="黑体"/>
                <w:szCs w:val="21"/>
              </w:rPr>
            </w:pPr>
            <w:r>
              <w:rPr>
                <w:rFonts w:hint="eastAsia" w:ascii="黑体" w:hAnsi="黑体" w:eastAsia="黑体"/>
                <w:szCs w:val="21"/>
              </w:rPr>
              <w:t>216</w:t>
            </w:r>
          </w:p>
        </w:tc>
        <w:tc>
          <w:tcPr>
            <w:tcW w:w="600" w:type="dxa"/>
            <w:vAlign w:val="center"/>
          </w:tcPr>
          <w:p w14:paraId="0CF96C25">
            <w:pPr>
              <w:widowControl/>
              <w:jc w:val="center"/>
              <w:rPr>
                <w:rFonts w:ascii="黑体" w:hAnsi="黑体" w:eastAsia="黑体"/>
                <w:szCs w:val="21"/>
              </w:rPr>
            </w:pPr>
            <w:r>
              <w:rPr>
                <w:rFonts w:hint="eastAsia" w:ascii="黑体" w:hAnsi="黑体" w:eastAsia="黑体"/>
                <w:szCs w:val="21"/>
              </w:rPr>
              <w:t>3</w:t>
            </w:r>
          </w:p>
        </w:tc>
        <w:tc>
          <w:tcPr>
            <w:tcW w:w="641" w:type="dxa"/>
            <w:vAlign w:val="center"/>
          </w:tcPr>
          <w:p w14:paraId="73264CBD">
            <w:pPr>
              <w:widowControl/>
              <w:jc w:val="center"/>
              <w:rPr>
                <w:rFonts w:ascii="黑体" w:hAnsi="黑体" w:eastAsia="黑体"/>
                <w:szCs w:val="21"/>
              </w:rPr>
            </w:pPr>
            <w:r>
              <w:rPr>
                <w:rFonts w:hint="eastAsia" w:ascii="黑体" w:hAnsi="黑体" w:eastAsia="黑体"/>
                <w:szCs w:val="21"/>
              </w:rPr>
              <w:t>3</w:t>
            </w:r>
          </w:p>
        </w:tc>
        <w:tc>
          <w:tcPr>
            <w:tcW w:w="704" w:type="dxa"/>
            <w:vAlign w:val="center"/>
          </w:tcPr>
          <w:p w14:paraId="3998917E">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06093AB3">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2C9E683A">
            <w:pPr>
              <w:widowControl/>
              <w:jc w:val="center"/>
              <w:rPr>
                <w:rFonts w:ascii="黑体" w:hAnsi="黑体" w:eastAsia="黑体"/>
                <w:szCs w:val="21"/>
              </w:rPr>
            </w:pPr>
          </w:p>
        </w:tc>
        <w:tc>
          <w:tcPr>
            <w:tcW w:w="842" w:type="dxa"/>
            <w:vAlign w:val="center"/>
          </w:tcPr>
          <w:p w14:paraId="437D01F9">
            <w:pPr>
              <w:widowControl/>
              <w:jc w:val="center"/>
              <w:rPr>
                <w:rFonts w:ascii="黑体" w:hAnsi="黑体" w:eastAsia="黑体"/>
                <w:szCs w:val="21"/>
              </w:rPr>
            </w:pPr>
            <w:r>
              <w:rPr>
                <w:rFonts w:hint="eastAsia" w:ascii="黑体" w:hAnsi="黑体" w:eastAsia="黑体"/>
                <w:szCs w:val="21"/>
              </w:rPr>
              <w:t>2</w:t>
            </w:r>
          </w:p>
        </w:tc>
        <w:tc>
          <w:tcPr>
            <w:tcW w:w="753" w:type="dxa"/>
            <w:vMerge w:val="continue"/>
            <w:vAlign w:val="center"/>
          </w:tcPr>
          <w:p w14:paraId="34299BE8">
            <w:pPr>
              <w:widowControl/>
              <w:jc w:val="center"/>
              <w:rPr>
                <w:rFonts w:ascii="黑体" w:hAnsi="黑体" w:eastAsia="黑体"/>
                <w:szCs w:val="21"/>
              </w:rPr>
            </w:pPr>
          </w:p>
        </w:tc>
      </w:tr>
      <w:tr w14:paraId="3037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6507816D">
            <w:pPr>
              <w:widowControl/>
              <w:jc w:val="center"/>
              <w:rPr>
                <w:rFonts w:ascii="黑体" w:hAnsi="黑体" w:eastAsia="黑体"/>
                <w:szCs w:val="21"/>
              </w:rPr>
            </w:pPr>
          </w:p>
        </w:tc>
        <w:tc>
          <w:tcPr>
            <w:tcW w:w="426" w:type="dxa"/>
            <w:vAlign w:val="center"/>
          </w:tcPr>
          <w:p w14:paraId="056C9677">
            <w:pPr>
              <w:widowControl/>
              <w:jc w:val="center"/>
              <w:rPr>
                <w:rFonts w:ascii="黑体" w:hAnsi="黑体" w:eastAsia="黑体"/>
                <w:szCs w:val="21"/>
              </w:rPr>
            </w:pPr>
            <w:r>
              <w:rPr>
                <w:rFonts w:hint="eastAsia" w:ascii="黑体" w:hAnsi="黑体" w:eastAsia="黑体"/>
                <w:szCs w:val="21"/>
              </w:rPr>
              <w:t>6</w:t>
            </w:r>
          </w:p>
        </w:tc>
        <w:tc>
          <w:tcPr>
            <w:tcW w:w="2044" w:type="dxa"/>
            <w:vAlign w:val="center"/>
          </w:tcPr>
          <w:p w14:paraId="5A3159B4">
            <w:pPr>
              <w:widowControl/>
              <w:jc w:val="center"/>
              <w:rPr>
                <w:rFonts w:ascii="黑体" w:hAnsi="黑体" w:eastAsia="黑体"/>
                <w:szCs w:val="21"/>
              </w:rPr>
            </w:pPr>
            <w:r>
              <w:rPr>
                <w:rFonts w:hint="eastAsia" w:ascii="黑体" w:hAnsi="黑体" w:eastAsia="黑体"/>
                <w:szCs w:val="21"/>
              </w:rPr>
              <w:t>数学</w:t>
            </w:r>
          </w:p>
        </w:tc>
        <w:tc>
          <w:tcPr>
            <w:tcW w:w="780" w:type="dxa"/>
            <w:vAlign w:val="center"/>
          </w:tcPr>
          <w:p w14:paraId="510FBB6E">
            <w:pPr>
              <w:widowControl/>
              <w:jc w:val="center"/>
              <w:rPr>
                <w:rFonts w:ascii="黑体" w:hAnsi="黑体" w:eastAsia="黑体"/>
                <w:szCs w:val="21"/>
              </w:rPr>
            </w:pPr>
            <w:r>
              <w:rPr>
                <w:rFonts w:hint="eastAsia" w:ascii="黑体" w:hAnsi="黑体" w:eastAsia="黑体"/>
                <w:szCs w:val="21"/>
              </w:rPr>
              <w:t>180</w:t>
            </w:r>
          </w:p>
        </w:tc>
        <w:tc>
          <w:tcPr>
            <w:tcW w:w="600" w:type="dxa"/>
            <w:vAlign w:val="center"/>
          </w:tcPr>
          <w:p w14:paraId="1C7938B1">
            <w:pPr>
              <w:widowControl/>
              <w:jc w:val="center"/>
              <w:rPr>
                <w:rFonts w:ascii="黑体" w:hAnsi="黑体" w:eastAsia="黑体"/>
                <w:szCs w:val="21"/>
              </w:rPr>
            </w:pPr>
            <w:r>
              <w:rPr>
                <w:rFonts w:hint="eastAsia" w:ascii="黑体" w:hAnsi="黑体" w:eastAsia="黑体"/>
                <w:szCs w:val="21"/>
              </w:rPr>
              <w:t>3</w:t>
            </w:r>
          </w:p>
        </w:tc>
        <w:tc>
          <w:tcPr>
            <w:tcW w:w="641" w:type="dxa"/>
            <w:vAlign w:val="center"/>
          </w:tcPr>
          <w:p w14:paraId="05520FAB">
            <w:pPr>
              <w:widowControl/>
              <w:jc w:val="center"/>
              <w:rPr>
                <w:rFonts w:ascii="黑体" w:hAnsi="黑体" w:eastAsia="黑体"/>
                <w:szCs w:val="21"/>
              </w:rPr>
            </w:pPr>
            <w:r>
              <w:rPr>
                <w:rFonts w:hint="eastAsia" w:ascii="黑体" w:hAnsi="黑体" w:eastAsia="黑体"/>
                <w:szCs w:val="21"/>
              </w:rPr>
              <w:t>3</w:t>
            </w:r>
          </w:p>
        </w:tc>
        <w:tc>
          <w:tcPr>
            <w:tcW w:w="704" w:type="dxa"/>
            <w:vAlign w:val="center"/>
          </w:tcPr>
          <w:p w14:paraId="7E04DDDD">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6E5B3E02">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554F05E3">
            <w:pPr>
              <w:widowControl/>
              <w:jc w:val="center"/>
              <w:rPr>
                <w:rFonts w:ascii="黑体" w:hAnsi="黑体" w:eastAsia="黑体"/>
                <w:szCs w:val="21"/>
              </w:rPr>
            </w:pPr>
          </w:p>
        </w:tc>
        <w:tc>
          <w:tcPr>
            <w:tcW w:w="842" w:type="dxa"/>
            <w:vAlign w:val="center"/>
          </w:tcPr>
          <w:p w14:paraId="75715FC2">
            <w:pPr>
              <w:widowControl/>
              <w:jc w:val="center"/>
              <w:rPr>
                <w:rFonts w:ascii="黑体" w:hAnsi="黑体" w:eastAsia="黑体"/>
                <w:szCs w:val="21"/>
              </w:rPr>
            </w:pPr>
          </w:p>
        </w:tc>
        <w:tc>
          <w:tcPr>
            <w:tcW w:w="753" w:type="dxa"/>
            <w:vMerge w:val="continue"/>
            <w:vAlign w:val="center"/>
          </w:tcPr>
          <w:p w14:paraId="36C40C6C">
            <w:pPr>
              <w:widowControl/>
              <w:jc w:val="center"/>
              <w:rPr>
                <w:rFonts w:ascii="黑体" w:hAnsi="黑体" w:eastAsia="黑体"/>
                <w:szCs w:val="21"/>
              </w:rPr>
            </w:pPr>
          </w:p>
        </w:tc>
      </w:tr>
      <w:tr w14:paraId="17FD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0ECA787D">
            <w:pPr>
              <w:widowControl/>
              <w:jc w:val="center"/>
              <w:rPr>
                <w:rFonts w:ascii="黑体" w:hAnsi="黑体" w:eastAsia="黑体"/>
                <w:szCs w:val="21"/>
              </w:rPr>
            </w:pPr>
          </w:p>
        </w:tc>
        <w:tc>
          <w:tcPr>
            <w:tcW w:w="426" w:type="dxa"/>
            <w:vAlign w:val="center"/>
          </w:tcPr>
          <w:p w14:paraId="435C8BC2">
            <w:pPr>
              <w:widowControl/>
              <w:jc w:val="center"/>
              <w:rPr>
                <w:rFonts w:ascii="黑体" w:hAnsi="黑体" w:eastAsia="黑体"/>
                <w:szCs w:val="21"/>
              </w:rPr>
            </w:pPr>
            <w:r>
              <w:rPr>
                <w:rFonts w:hint="eastAsia" w:ascii="黑体" w:hAnsi="黑体" w:eastAsia="黑体"/>
                <w:szCs w:val="21"/>
              </w:rPr>
              <w:t>7</w:t>
            </w:r>
          </w:p>
        </w:tc>
        <w:tc>
          <w:tcPr>
            <w:tcW w:w="2044" w:type="dxa"/>
            <w:vAlign w:val="center"/>
          </w:tcPr>
          <w:p w14:paraId="3239073F">
            <w:pPr>
              <w:widowControl/>
              <w:jc w:val="center"/>
              <w:rPr>
                <w:rFonts w:ascii="黑体" w:hAnsi="黑体" w:eastAsia="黑体"/>
                <w:szCs w:val="21"/>
              </w:rPr>
            </w:pPr>
            <w:r>
              <w:rPr>
                <w:rFonts w:hint="eastAsia" w:ascii="黑体" w:hAnsi="黑体" w:eastAsia="黑体"/>
                <w:szCs w:val="21"/>
              </w:rPr>
              <w:t>外语</w:t>
            </w:r>
          </w:p>
        </w:tc>
        <w:tc>
          <w:tcPr>
            <w:tcW w:w="780" w:type="dxa"/>
            <w:vAlign w:val="center"/>
          </w:tcPr>
          <w:p w14:paraId="4BC21FF9">
            <w:pPr>
              <w:widowControl/>
              <w:jc w:val="center"/>
              <w:rPr>
                <w:rFonts w:ascii="黑体" w:hAnsi="黑体" w:eastAsia="黑体"/>
                <w:szCs w:val="21"/>
              </w:rPr>
            </w:pPr>
            <w:r>
              <w:rPr>
                <w:rFonts w:hint="eastAsia" w:ascii="黑体" w:hAnsi="黑体" w:eastAsia="黑体"/>
                <w:szCs w:val="21"/>
              </w:rPr>
              <w:t>180</w:t>
            </w:r>
          </w:p>
        </w:tc>
        <w:tc>
          <w:tcPr>
            <w:tcW w:w="600" w:type="dxa"/>
            <w:vAlign w:val="center"/>
          </w:tcPr>
          <w:p w14:paraId="3C4F2C05">
            <w:pPr>
              <w:widowControl/>
              <w:jc w:val="center"/>
              <w:rPr>
                <w:rFonts w:ascii="黑体" w:hAnsi="黑体" w:eastAsia="黑体"/>
                <w:szCs w:val="21"/>
              </w:rPr>
            </w:pPr>
            <w:r>
              <w:rPr>
                <w:rFonts w:hint="eastAsia" w:ascii="黑体" w:hAnsi="黑体" w:eastAsia="黑体"/>
                <w:szCs w:val="21"/>
              </w:rPr>
              <w:t>3</w:t>
            </w:r>
          </w:p>
        </w:tc>
        <w:tc>
          <w:tcPr>
            <w:tcW w:w="641" w:type="dxa"/>
            <w:vAlign w:val="center"/>
          </w:tcPr>
          <w:p w14:paraId="7BA95C75">
            <w:pPr>
              <w:widowControl/>
              <w:jc w:val="center"/>
              <w:rPr>
                <w:rFonts w:ascii="黑体" w:hAnsi="黑体" w:eastAsia="黑体"/>
                <w:szCs w:val="21"/>
              </w:rPr>
            </w:pPr>
            <w:r>
              <w:rPr>
                <w:rFonts w:hint="eastAsia" w:ascii="黑体" w:hAnsi="黑体" w:eastAsia="黑体"/>
                <w:szCs w:val="21"/>
              </w:rPr>
              <w:t>3</w:t>
            </w:r>
          </w:p>
        </w:tc>
        <w:tc>
          <w:tcPr>
            <w:tcW w:w="704" w:type="dxa"/>
            <w:vAlign w:val="center"/>
          </w:tcPr>
          <w:p w14:paraId="4072C1B3">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04EF3278">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34A9F1BF">
            <w:pPr>
              <w:widowControl/>
              <w:jc w:val="center"/>
              <w:rPr>
                <w:rFonts w:ascii="黑体" w:hAnsi="黑体" w:eastAsia="黑体"/>
                <w:szCs w:val="21"/>
              </w:rPr>
            </w:pPr>
          </w:p>
        </w:tc>
        <w:tc>
          <w:tcPr>
            <w:tcW w:w="842" w:type="dxa"/>
            <w:vAlign w:val="center"/>
          </w:tcPr>
          <w:p w14:paraId="382BAE09">
            <w:pPr>
              <w:widowControl/>
              <w:jc w:val="center"/>
              <w:rPr>
                <w:rFonts w:ascii="黑体" w:hAnsi="黑体" w:eastAsia="黑体"/>
                <w:szCs w:val="21"/>
              </w:rPr>
            </w:pPr>
          </w:p>
        </w:tc>
        <w:tc>
          <w:tcPr>
            <w:tcW w:w="753" w:type="dxa"/>
            <w:vMerge w:val="continue"/>
            <w:vAlign w:val="center"/>
          </w:tcPr>
          <w:p w14:paraId="2B286CD7">
            <w:pPr>
              <w:widowControl/>
              <w:jc w:val="center"/>
              <w:rPr>
                <w:rFonts w:ascii="黑体" w:hAnsi="黑体" w:eastAsia="黑体"/>
                <w:szCs w:val="21"/>
              </w:rPr>
            </w:pPr>
          </w:p>
        </w:tc>
      </w:tr>
      <w:tr w14:paraId="40A1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0BD6FFC2">
            <w:pPr>
              <w:widowControl/>
              <w:jc w:val="center"/>
              <w:rPr>
                <w:rFonts w:ascii="黑体" w:hAnsi="黑体" w:eastAsia="黑体"/>
                <w:szCs w:val="21"/>
              </w:rPr>
            </w:pPr>
          </w:p>
        </w:tc>
        <w:tc>
          <w:tcPr>
            <w:tcW w:w="426" w:type="dxa"/>
            <w:vAlign w:val="center"/>
          </w:tcPr>
          <w:p w14:paraId="17CE964E">
            <w:pPr>
              <w:widowControl/>
              <w:jc w:val="center"/>
              <w:rPr>
                <w:rFonts w:ascii="黑体" w:hAnsi="黑体" w:eastAsia="黑体"/>
                <w:szCs w:val="21"/>
              </w:rPr>
            </w:pPr>
            <w:r>
              <w:rPr>
                <w:rFonts w:hint="eastAsia" w:ascii="黑体" w:hAnsi="黑体" w:eastAsia="黑体"/>
                <w:szCs w:val="21"/>
              </w:rPr>
              <w:t>8</w:t>
            </w:r>
          </w:p>
        </w:tc>
        <w:tc>
          <w:tcPr>
            <w:tcW w:w="2044" w:type="dxa"/>
            <w:vAlign w:val="center"/>
          </w:tcPr>
          <w:p w14:paraId="04B56F5D">
            <w:pPr>
              <w:widowControl/>
              <w:jc w:val="center"/>
              <w:rPr>
                <w:rFonts w:ascii="黑体" w:hAnsi="黑体" w:eastAsia="黑体"/>
                <w:szCs w:val="21"/>
              </w:rPr>
            </w:pPr>
            <w:r>
              <w:rPr>
                <w:rFonts w:hint="eastAsia" w:ascii="黑体" w:hAnsi="黑体" w:eastAsia="黑体"/>
                <w:szCs w:val="21"/>
              </w:rPr>
              <w:t>历史</w:t>
            </w:r>
          </w:p>
        </w:tc>
        <w:tc>
          <w:tcPr>
            <w:tcW w:w="780" w:type="dxa"/>
            <w:vAlign w:val="center"/>
          </w:tcPr>
          <w:p w14:paraId="4AF5BCF0">
            <w:pPr>
              <w:widowControl/>
              <w:jc w:val="center"/>
              <w:rPr>
                <w:rFonts w:ascii="黑体" w:hAnsi="黑体" w:eastAsia="黑体"/>
                <w:szCs w:val="21"/>
              </w:rPr>
            </w:pPr>
            <w:r>
              <w:rPr>
                <w:rFonts w:hint="eastAsia" w:ascii="黑体" w:hAnsi="黑体" w:eastAsia="黑体"/>
                <w:szCs w:val="21"/>
              </w:rPr>
              <w:t>72</w:t>
            </w:r>
          </w:p>
        </w:tc>
        <w:tc>
          <w:tcPr>
            <w:tcW w:w="600" w:type="dxa"/>
            <w:vAlign w:val="center"/>
          </w:tcPr>
          <w:p w14:paraId="13663BF2">
            <w:pPr>
              <w:widowControl/>
              <w:jc w:val="center"/>
              <w:rPr>
                <w:rFonts w:ascii="黑体" w:hAnsi="黑体" w:eastAsia="黑体"/>
                <w:szCs w:val="21"/>
              </w:rPr>
            </w:pPr>
            <w:r>
              <w:rPr>
                <w:rFonts w:hint="eastAsia" w:ascii="黑体" w:hAnsi="黑体" w:eastAsia="黑体"/>
                <w:szCs w:val="21"/>
              </w:rPr>
              <w:t>1</w:t>
            </w:r>
          </w:p>
        </w:tc>
        <w:tc>
          <w:tcPr>
            <w:tcW w:w="641" w:type="dxa"/>
            <w:vAlign w:val="center"/>
          </w:tcPr>
          <w:p w14:paraId="72184925">
            <w:pPr>
              <w:widowControl/>
              <w:jc w:val="center"/>
              <w:rPr>
                <w:rFonts w:ascii="黑体" w:hAnsi="黑体" w:eastAsia="黑体"/>
                <w:szCs w:val="21"/>
              </w:rPr>
            </w:pPr>
            <w:r>
              <w:rPr>
                <w:rFonts w:hint="eastAsia" w:ascii="黑体" w:hAnsi="黑体" w:eastAsia="黑体"/>
                <w:szCs w:val="21"/>
              </w:rPr>
              <w:t>1</w:t>
            </w:r>
          </w:p>
        </w:tc>
        <w:tc>
          <w:tcPr>
            <w:tcW w:w="704" w:type="dxa"/>
            <w:vAlign w:val="center"/>
          </w:tcPr>
          <w:p w14:paraId="030EF7CA">
            <w:pPr>
              <w:widowControl/>
              <w:jc w:val="center"/>
              <w:rPr>
                <w:rFonts w:ascii="黑体" w:hAnsi="黑体" w:eastAsia="黑体"/>
                <w:szCs w:val="21"/>
              </w:rPr>
            </w:pPr>
            <w:r>
              <w:rPr>
                <w:rFonts w:hint="eastAsia" w:ascii="黑体" w:hAnsi="黑体" w:eastAsia="黑体"/>
                <w:szCs w:val="21"/>
              </w:rPr>
              <w:t>1</w:t>
            </w:r>
          </w:p>
        </w:tc>
        <w:tc>
          <w:tcPr>
            <w:tcW w:w="704" w:type="dxa"/>
            <w:vAlign w:val="center"/>
          </w:tcPr>
          <w:p w14:paraId="5FF13598">
            <w:pPr>
              <w:widowControl/>
              <w:jc w:val="center"/>
              <w:rPr>
                <w:rFonts w:ascii="黑体" w:hAnsi="黑体" w:eastAsia="黑体"/>
                <w:szCs w:val="21"/>
              </w:rPr>
            </w:pPr>
            <w:r>
              <w:rPr>
                <w:rFonts w:hint="eastAsia" w:ascii="黑体" w:hAnsi="黑体" w:eastAsia="黑体"/>
                <w:szCs w:val="21"/>
              </w:rPr>
              <w:t>1</w:t>
            </w:r>
          </w:p>
        </w:tc>
        <w:tc>
          <w:tcPr>
            <w:tcW w:w="704" w:type="dxa"/>
            <w:vAlign w:val="center"/>
          </w:tcPr>
          <w:p w14:paraId="4113D025">
            <w:pPr>
              <w:widowControl/>
              <w:jc w:val="center"/>
              <w:rPr>
                <w:rFonts w:ascii="黑体" w:hAnsi="黑体" w:eastAsia="黑体"/>
                <w:szCs w:val="21"/>
              </w:rPr>
            </w:pPr>
          </w:p>
        </w:tc>
        <w:tc>
          <w:tcPr>
            <w:tcW w:w="842" w:type="dxa"/>
            <w:vAlign w:val="center"/>
          </w:tcPr>
          <w:p w14:paraId="61F50CE1">
            <w:pPr>
              <w:widowControl/>
              <w:jc w:val="center"/>
              <w:rPr>
                <w:rFonts w:ascii="黑体" w:hAnsi="黑体" w:eastAsia="黑体"/>
                <w:szCs w:val="21"/>
              </w:rPr>
            </w:pPr>
          </w:p>
        </w:tc>
        <w:tc>
          <w:tcPr>
            <w:tcW w:w="753" w:type="dxa"/>
            <w:vMerge w:val="continue"/>
            <w:vAlign w:val="center"/>
          </w:tcPr>
          <w:p w14:paraId="002088D4">
            <w:pPr>
              <w:widowControl/>
              <w:jc w:val="center"/>
              <w:rPr>
                <w:rFonts w:ascii="黑体" w:hAnsi="黑体" w:eastAsia="黑体"/>
                <w:szCs w:val="21"/>
              </w:rPr>
            </w:pPr>
          </w:p>
        </w:tc>
      </w:tr>
      <w:tr w14:paraId="5C00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7452615B">
            <w:pPr>
              <w:widowControl/>
              <w:jc w:val="center"/>
              <w:rPr>
                <w:rFonts w:ascii="黑体" w:hAnsi="黑体" w:eastAsia="黑体"/>
                <w:szCs w:val="21"/>
              </w:rPr>
            </w:pPr>
          </w:p>
        </w:tc>
        <w:tc>
          <w:tcPr>
            <w:tcW w:w="426" w:type="dxa"/>
            <w:vAlign w:val="center"/>
          </w:tcPr>
          <w:p w14:paraId="5604006B">
            <w:pPr>
              <w:widowControl/>
              <w:jc w:val="center"/>
              <w:rPr>
                <w:rFonts w:ascii="黑体" w:hAnsi="黑体" w:eastAsia="黑体"/>
                <w:szCs w:val="21"/>
              </w:rPr>
            </w:pPr>
            <w:r>
              <w:rPr>
                <w:rFonts w:hint="eastAsia" w:ascii="黑体" w:hAnsi="黑体" w:eastAsia="黑体"/>
                <w:szCs w:val="21"/>
              </w:rPr>
              <w:t>9</w:t>
            </w:r>
          </w:p>
        </w:tc>
        <w:tc>
          <w:tcPr>
            <w:tcW w:w="2044" w:type="dxa"/>
            <w:vAlign w:val="center"/>
          </w:tcPr>
          <w:p w14:paraId="3B46A23C">
            <w:pPr>
              <w:widowControl/>
              <w:jc w:val="center"/>
              <w:rPr>
                <w:rFonts w:ascii="黑体" w:hAnsi="黑体" w:eastAsia="黑体"/>
                <w:szCs w:val="21"/>
              </w:rPr>
            </w:pPr>
            <w:r>
              <w:rPr>
                <w:rFonts w:ascii="黑体" w:hAnsi="黑体" w:eastAsia="黑体"/>
                <w:szCs w:val="21"/>
              </w:rPr>
              <w:t>信息技术</w:t>
            </w:r>
          </w:p>
        </w:tc>
        <w:tc>
          <w:tcPr>
            <w:tcW w:w="780" w:type="dxa"/>
            <w:vAlign w:val="center"/>
          </w:tcPr>
          <w:p w14:paraId="285174ED">
            <w:pPr>
              <w:widowControl/>
              <w:jc w:val="center"/>
              <w:rPr>
                <w:rFonts w:ascii="黑体" w:hAnsi="黑体" w:eastAsia="黑体"/>
                <w:szCs w:val="21"/>
              </w:rPr>
            </w:pPr>
            <w:r>
              <w:rPr>
                <w:rFonts w:hint="eastAsia" w:ascii="黑体" w:hAnsi="黑体" w:eastAsia="黑体"/>
                <w:szCs w:val="21"/>
              </w:rPr>
              <w:t>144</w:t>
            </w:r>
          </w:p>
        </w:tc>
        <w:tc>
          <w:tcPr>
            <w:tcW w:w="600" w:type="dxa"/>
            <w:vAlign w:val="center"/>
          </w:tcPr>
          <w:p w14:paraId="1C26ECCB">
            <w:pPr>
              <w:widowControl/>
              <w:jc w:val="center"/>
              <w:rPr>
                <w:rFonts w:ascii="黑体" w:hAnsi="黑体" w:eastAsia="黑体"/>
                <w:szCs w:val="21"/>
              </w:rPr>
            </w:pPr>
            <w:r>
              <w:rPr>
                <w:rFonts w:hint="eastAsia" w:ascii="黑体" w:hAnsi="黑体" w:eastAsia="黑体"/>
                <w:szCs w:val="21"/>
              </w:rPr>
              <w:t>2</w:t>
            </w:r>
          </w:p>
        </w:tc>
        <w:tc>
          <w:tcPr>
            <w:tcW w:w="641" w:type="dxa"/>
            <w:vAlign w:val="center"/>
          </w:tcPr>
          <w:p w14:paraId="2BE08F0B">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10FE5149">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0601110A">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729FAE13">
            <w:pPr>
              <w:widowControl/>
              <w:jc w:val="center"/>
              <w:rPr>
                <w:rFonts w:ascii="黑体" w:hAnsi="黑体" w:eastAsia="黑体"/>
                <w:szCs w:val="21"/>
              </w:rPr>
            </w:pPr>
          </w:p>
        </w:tc>
        <w:tc>
          <w:tcPr>
            <w:tcW w:w="842" w:type="dxa"/>
            <w:vAlign w:val="center"/>
          </w:tcPr>
          <w:p w14:paraId="2603FE7F">
            <w:pPr>
              <w:widowControl/>
              <w:jc w:val="center"/>
              <w:rPr>
                <w:rFonts w:ascii="黑体" w:hAnsi="黑体" w:eastAsia="黑体"/>
                <w:szCs w:val="21"/>
              </w:rPr>
            </w:pPr>
          </w:p>
        </w:tc>
        <w:tc>
          <w:tcPr>
            <w:tcW w:w="753" w:type="dxa"/>
            <w:vMerge w:val="continue"/>
            <w:vAlign w:val="center"/>
          </w:tcPr>
          <w:p w14:paraId="1EEACFBD">
            <w:pPr>
              <w:widowControl/>
              <w:jc w:val="center"/>
              <w:rPr>
                <w:rFonts w:ascii="黑体" w:hAnsi="黑体" w:eastAsia="黑体"/>
                <w:szCs w:val="21"/>
              </w:rPr>
            </w:pPr>
          </w:p>
        </w:tc>
      </w:tr>
      <w:tr w14:paraId="1FB3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516496BA">
            <w:pPr>
              <w:widowControl/>
              <w:jc w:val="center"/>
              <w:rPr>
                <w:rFonts w:ascii="黑体" w:hAnsi="黑体" w:eastAsia="黑体"/>
                <w:szCs w:val="21"/>
              </w:rPr>
            </w:pPr>
          </w:p>
        </w:tc>
        <w:tc>
          <w:tcPr>
            <w:tcW w:w="426" w:type="dxa"/>
            <w:vAlign w:val="center"/>
          </w:tcPr>
          <w:p w14:paraId="590804C8">
            <w:pPr>
              <w:widowControl/>
              <w:jc w:val="center"/>
              <w:rPr>
                <w:rFonts w:ascii="黑体" w:hAnsi="黑体" w:eastAsia="黑体"/>
                <w:szCs w:val="21"/>
              </w:rPr>
            </w:pPr>
            <w:r>
              <w:rPr>
                <w:rFonts w:hint="eastAsia" w:ascii="黑体" w:hAnsi="黑体" w:eastAsia="黑体"/>
                <w:szCs w:val="21"/>
              </w:rPr>
              <w:t>10</w:t>
            </w:r>
          </w:p>
        </w:tc>
        <w:tc>
          <w:tcPr>
            <w:tcW w:w="2044" w:type="dxa"/>
            <w:vAlign w:val="center"/>
          </w:tcPr>
          <w:p w14:paraId="63F6A23B">
            <w:pPr>
              <w:widowControl/>
              <w:jc w:val="center"/>
              <w:rPr>
                <w:rFonts w:ascii="黑体" w:hAnsi="黑体" w:eastAsia="黑体"/>
                <w:szCs w:val="21"/>
              </w:rPr>
            </w:pPr>
            <w:r>
              <w:rPr>
                <w:rFonts w:ascii="黑体" w:hAnsi="黑体" w:eastAsia="黑体"/>
                <w:szCs w:val="21"/>
              </w:rPr>
              <w:t>体育与健康</w:t>
            </w:r>
          </w:p>
        </w:tc>
        <w:tc>
          <w:tcPr>
            <w:tcW w:w="780" w:type="dxa"/>
            <w:vAlign w:val="center"/>
          </w:tcPr>
          <w:p w14:paraId="46B107C7">
            <w:pPr>
              <w:widowControl/>
              <w:jc w:val="center"/>
              <w:rPr>
                <w:rFonts w:ascii="黑体" w:hAnsi="黑体" w:eastAsia="黑体"/>
                <w:szCs w:val="21"/>
              </w:rPr>
            </w:pPr>
            <w:r>
              <w:rPr>
                <w:rFonts w:hint="eastAsia" w:ascii="黑体" w:hAnsi="黑体" w:eastAsia="黑体"/>
                <w:szCs w:val="21"/>
              </w:rPr>
              <w:t>180</w:t>
            </w:r>
          </w:p>
        </w:tc>
        <w:tc>
          <w:tcPr>
            <w:tcW w:w="600" w:type="dxa"/>
            <w:vAlign w:val="center"/>
          </w:tcPr>
          <w:p w14:paraId="3BB1A257">
            <w:pPr>
              <w:widowControl/>
              <w:jc w:val="center"/>
              <w:rPr>
                <w:rFonts w:ascii="黑体" w:hAnsi="黑体" w:eastAsia="黑体"/>
                <w:szCs w:val="21"/>
              </w:rPr>
            </w:pPr>
            <w:r>
              <w:rPr>
                <w:rFonts w:hint="eastAsia" w:ascii="黑体" w:hAnsi="黑体" w:eastAsia="黑体"/>
                <w:szCs w:val="21"/>
              </w:rPr>
              <w:t>2</w:t>
            </w:r>
          </w:p>
        </w:tc>
        <w:tc>
          <w:tcPr>
            <w:tcW w:w="641" w:type="dxa"/>
            <w:vAlign w:val="center"/>
          </w:tcPr>
          <w:p w14:paraId="4C6B3F99">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1978CB88">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709C88F9">
            <w:pPr>
              <w:widowControl/>
              <w:jc w:val="center"/>
              <w:rPr>
                <w:rFonts w:ascii="黑体" w:hAnsi="黑体" w:eastAsia="黑体"/>
                <w:szCs w:val="21"/>
              </w:rPr>
            </w:pPr>
            <w:r>
              <w:rPr>
                <w:rFonts w:hint="eastAsia" w:ascii="黑体" w:hAnsi="黑体" w:eastAsia="黑体"/>
                <w:szCs w:val="21"/>
              </w:rPr>
              <w:t>2</w:t>
            </w:r>
          </w:p>
        </w:tc>
        <w:tc>
          <w:tcPr>
            <w:tcW w:w="704" w:type="dxa"/>
            <w:vAlign w:val="center"/>
          </w:tcPr>
          <w:p w14:paraId="22AEE345">
            <w:pPr>
              <w:widowControl/>
              <w:jc w:val="center"/>
              <w:rPr>
                <w:rFonts w:ascii="黑体" w:hAnsi="黑体" w:eastAsia="黑体"/>
                <w:szCs w:val="21"/>
              </w:rPr>
            </w:pPr>
          </w:p>
        </w:tc>
        <w:tc>
          <w:tcPr>
            <w:tcW w:w="842" w:type="dxa"/>
            <w:vAlign w:val="center"/>
          </w:tcPr>
          <w:p w14:paraId="5C79BA21">
            <w:pPr>
              <w:widowControl/>
              <w:jc w:val="center"/>
              <w:rPr>
                <w:rFonts w:ascii="黑体" w:hAnsi="黑体" w:eastAsia="黑体"/>
                <w:szCs w:val="21"/>
              </w:rPr>
            </w:pPr>
            <w:r>
              <w:rPr>
                <w:rFonts w:hint="eastAsia" w:ascii="黑体" w:hAnsi="黑体" w:eastAsia="黑体"/>
                <w:szCs w:val="21"/>
              </w:rPr>
              <w:t>2</w:t>
            </w:r>
          </w:p>
        </w:tc>
        <w:tc>
          <w:tcPr>
            <w:tcW w:w="753" w:type="dxa"/>
            <w:vMerge w:val="continue"/>
            <w:vAlign w:val="center"/>
          </w:tcPr>
          <w:p w14:paraId="75175A24">
            <w:pPr>
              <w:widowControl/>
              <w:jc w:val="center"/>
              <w:rPr>
                <w:rFonts w:ascii="黑体" w:hAnsi="黑体" w:eastAsia="黑体"/>
                <w:szCs w:val="21"/>
              </w:rPr>
            </w:pPr>
          </w:p>
        </w:tc>
      </w:tr>
      <w:tr w14:paraId="3919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7F1DF174">
            <w:pPr>
              <w:widowControl/>
              <w:jc w:val="center"/>
              <w:rPr>
                <w:rFonts w:ascii="黑体" w:hAnsi="黑体" w:eastAsia="黑体"/>
                <w:szCs w:val="21"/>
              </w:rPr>
            </w:pPr>
          </w:p>
        </w:tc>
        <w:tc>
          <w:tcPr>
            <w:tcW w:w="426" w:type="dxa"/>
            <w:vAlign w:val="center"/>
          </w:tcPr>
          <w:p w14:paraId="6AC92874">
            <w:pPr>
              <w:widowControl/>
              <w:jc w:val="center"/>
              <w:rPr>
                <w:rFonts w:ascii="黑体" w:hAnsi="黑体" w:eastAsia="黑体"/>
                <w:szCs w:val="21"/>
              </w:rPr>
            </w:pPr>
            <w:r>
              <w:rPr>
                <w:rFonts w:hint="eastAsia" w:ascii="黑体" w:hAnsi="黑体" w:eastAsia="黑体"/>
                <w:szCs w:val="21"/>
              </w:rPr>
              <w:t>11</w:t>
            </w:r>
          </w:p>
        </w:tc>
        <w:tc>
          <w:tcPr>
            <w:tcW w:w="2044" w:type="dxa"/>
            <w:vAlign w:val="center"/>
          </w:tcPr>
          <w:p w14:paraId="351AB144">
            <w:pPr>
              <w:widowControl/>
              <w:jc w:val="center"/>
              <w:rPr>
                <w:rFonts w:ascii="黑体" w:hAnsi="黑体" w:eastAsia="黑体"/>
                <w:szCs w:val="21"/>
              </w:rPr>
            </w:pPr>
            <w:r>
              <w:rPr>
                <w:rFonts w:ascii="黑体" w:hAnsi="黑体" w:eastAsia="黑体"/>
                <w:szCs w:val="21"/>
              </w:rPr>
              <w:t>艺术</w:t>
            </w:r>
          </w:p>
        </w:tc>
        <w:tc>
          <w:tcPr>
            <w:tcW w:w="780" w:type="dxa"/>
            <w:vAlign w:val="center"/>
          </w:tcPr>
          <w:p w14:paraId="0F8BEB74">
            <w:pPr>
              <w:widowControl/>
              <w:jc w:val="center"/>
              <w:rPr>
                <w:rFonts w:ascii="黑体" w:hAnsi="黑体" w:eastAsia="黑体"/>
                <w:szCs w:val="21"/>
              </w:rPr>
            </w:pPr>
            <w:r>
              <w:rPr>
                <w:rFonts w:hint="eastAsia" w:ascii="黑体" w:hAnsi="黑体" w:eastAsia="黑体"/>
                <w:szCs w:val="21"/>
              </w:rPr>
              <w:t>72</w:t>
            </w:r>
          </w:p>
        </w:tc>
        <w:tc>
          <w:tcPr>
            <w:tcW w:w="600" w:type="dxa"/>
            <w:vAlign w:val="center"/>
          </w:tcPr>
          <w:p w14:paraId="347AD6F1">
            <w:pPr>
              <w:widowControl/>
              <w:jc w:val="center"/>
              <w:rPr>
                <w:rFonts w:ascii="黑体" w:hAnsi="黑体" w:eastAsia="黑体"/>
                <w:szCs w:val="21"/>
              </w:rPr>
            </w:pPr>
            <w:r>
              <w:rPr>
                <w:rFonts w:hint="eastAsia" w:ascii="黑体" w:hAnsi="黑体" w:eastAsia="黑体"/>
                <w:szCs w:val="21"/>
              </w:rPr>
              <w:t>1</w:t>
            </w:r>
          </w:p>
        </w:tc>
        <w:tc>
          <w:tcPr>
            <w:tcW w:w="641" w:type="dxa"/>
            <w:vAlign w:val="center"/>
          </w:tcPr>
          <w:p w14:paraId="2F592C51">
            <w:pPr>
              <w:widowControl/>
              <w:jc w:val="center"/>
              <w:rPr>
                <w:rFonts w:ascii="黑体" w:hAnsi="黑体" w:eastAsia="黑体"/>
                <w:szCs w:val="21"/>
              </w:rPr>
            </w:pPr>
            <w:r>
              <w:rPr>
                <w:rFonts w:hint="eastAsia" w:ascii="黑体" w:hAnsi="黑体" w:eastAsia="黑体"/>
                <w:szCs w:val="21"/>
              </w:rPr>
              <w:t>1</w:t>
            </w:r>
          </w:p>
        </w:tc>
        <w:tc>
          <w:tcPr>
            <w:tcW w:w="704" w:type="dxa"/>
            <w:vAlign w:val="center"/>
          </w:tcPr>
          <w:p w14:paraId="46C4A228">
            <w:pPr>
              <w:widowControl/>
              <w:jc w:val="center"/>
              <w:rPr>
                <w:rFonts w:ascii="黑体" w:hAnsi="黑体" w:eastAsia="黑体"/>
                <w:szCs w:val="21"/>
              </w:rPr>
            </w:pPr>
            <w:r>
              <w:rPr>
                <w:rFonts w:hint="eastAsia" w:ascii="黑体" w:hAnsi="黑体" w:eastAsia="黑体"/>
                <w:szCs w:val="21"/>
              </w:rPr>
              <w:t>1</w:t>
            </w:r>
          </w:p>
        </w:tc>
        <w:tc>
          <w:tcPr>
            <w:tcW w:w="704" w:type="dxa"/>
            <w:vAlign w:val="center"/>
          </w:tcPr>
          <w:p w14:paraId="6429E802">
            <w:pPr>
              <w:widowControl/>
              <w:jc w:val="center"/>
              <w:rPr>
                <w:rFonts w:ascii="黑体" w:hAnsi="黑体" w:eastAsia="黑体"/>
                <w:szCs w:val="21"/>
              </w:rPr>
            </w:pPr>
            <w:r>
              <w:rPr>
                <w:rFonts w:hint="eastAsia" w:ascii="黑体" w:hAnsi="黑体" w:eastAsia="黑体"/>
                <w:szCs w:val="21"/>
              </w:rPr>
              <w:t>1</w:t>
            </w:r>
          </w:p>
        </w:tc>
        <w:tc>
          <w:tcPr>
            <w:tcW w:w="704" w:type="dxa"/>
            <w:vAlign w:val="center"/>
          </w:tcPr>
          <w:p w14:paraId="056851C9">
            <w:pPr>
              <w:widowControl/>
              <w:jc w:val="center"/>
              <w:rPr>
                <w:rFonts w:ascii="黑体" w:hAnsi="黑体" w:eastAsia="黑体"/>
                <w:szCs w:val="21"/>
              </w:rPr>
            </w:pPr>
          </w:p>
        </w:tc>
        <w:tc>
          <w:tcPr>
            <w:tcW w:w="842" w:type="dxa"/>
            <w:vAlign w:val="center"/>
          </w:tcPr>
          <w:p w14:paraId="4D061465">
            <w:pPr>
              <w:widowControl/>
              <w:jc w:val="center"/>
              <w:rPr>
                <w:rFonts w:ascii="黑体" w:hAnsi="黑体" w:eastAsia="黑体"/>
                <w:szCs w:val="21"/>
              </w:rPr>
            </w:pPr>
          </w:p>
        </w:tc>
        <w:tc>
          <w:tcPr>
            <w:tcW w:w="753" w:type="dxa"/>
            <w:vMerge w:val="continue"/>
            <w:vAlign w:val="center"/>
          </w:tcPr>
          <w:p w14:paraId="0CF073A0">
            <w:pPr>
              <w:widowControl/>
              <w:jc w:val="center"/>
              <w:rPr>
                <w:rFonts w:ascii="黑体" w:hAnsi="黑体" w:eastAsia="黑体"/>
                <w:szCs w:val="21"/>
              </w:rPr>
            </w:pPr>
          </w:p>
        </w:tc>
      </w:tr>
      <w:tr w14:paraId="4411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6" w:type="dxa"/>
            <w:vMerge w:val="continue"/>
            <w:vAlign w:val="center"/>
          </w:tcPr>
          <w:p w14:paraId="2FF94D09">
            <w:pPr>
              <w:widowControl/>
              <w:jc w:val="center"/>
              <w:rPr>
                <w:rFonts w:ascii="黑体" w:hAnsi="黑体" w:eastAsia="黑体"/>
                <w:szCs w:val="21"/>
              </w:rPr>
            </w:pPr>
          </w:p>
        </w:tc>
        <w:tc>
          <w:tcPr>
            <w:tcW w:w="426" w:type="dxa"/>
            <w:vAlign w:val="center"/>
          </w:tcPr>
          <w:p w14:paraId="1BC87C8D">
            <w:pPr>
              <w:widowControl/>
              <w:jc w:val="center"/>
              <w:rPr>
                <w:rFonts w:ascii="黑体" w:hAnsi="黑体" w:eastAsia="黑体"/>
                <w:szCs w:val="21"/>
              </w:rPr>
            </w:pPr>
            <w:r>
              <w:rPr>
                <w:rFonts w:hint="eastAsia" w:ascii="黑体" w:hAnsi="黑体" w:eastAsia="黑体"/>
                <w:szCs w:val="21"/>
              </w:rPr>
              <w:t>12</w:t>
            </w:r>
          </w:p>
        </w:tc>
        <w:tc>
          <w:tcPr>
            <w:tcW w:w="2044" w:type="dxa"/>
            <w:vAlign w:val="center"/>
          </w:tcPr>
          <w:p w14:paraId="691E9CD1">
            <w:pPr>
              <w:widowControl/>
              <w:jc w:val="center"/>
              <w:rPr>
                <w:rFonts w:ascii="黑体" w:hAnsi="黑体" w:eastAsia="黑体"/>
                <w:szCs w:val="21"/>
              </w:rPr>
            </w:pPr>
            <w:r>
              <w:rPr>
                <w:rFonts w:ascii="黑体" w:hAnsi="黑体" w:eastAsia="黑体"/>
                <w:szCs w:val="21"/>
              </w:rPr>
              <w:t>劳动教育</w:t>
            </w:r>
          </w:p>
        </w:tc>
        <w:tc>
          <w:tcPr>
            <w:tcW w:w="780" w:type="dxa"/>
            <w:vAlign w:val="center"/>
          </w:tcPr>
          <w:p w14:paraId="3DD66B95">
            <w:pPr>
              <w:widowControl/>
              <w:jc w:val="center"/>
              <w:rPr>
                <w:rFonts w:ascii="黑体" w:hAnsi="黑体" w:eastAsia="黑体"/>
                <w:szCs w:val="21"/>
              </w:rPr>
            </w:pPr>
            <w:r>
              <w:rPr>
                <w:rFonts w:hint="eastAsia" w:ascii="黑体" w:hAnsi="黑体" w:eastAsia="黑体"/>
                <w:szCs w:val="21"/>
              </w:rPr>
              <w:t>90</w:t>
            </w:r>
          </w:p>
        </w:tc>
        <w:tc>
          <w:tcPr>
            <w:tcW w:w="600" w:type="dxa"/>
            <w:vAlign w:val="center"/>
          </w:tcPr>
          <w:p w14:paraId="1B5EF00D">
            <w:pPr>
              <w:widowControl/>
              <w:jc w:val="center"/>
              <w:rPr>
                <w:rFonts w:ascii="黑体" w:hAnsi="黑体" w:eastAsia="黑体"/>
                <w:szCs w:val="21"/>
              </w:rPr>
            </w:pPr>
            <w:r>
              <w:rPr>
                <w:rFonts w:hint="eastAsia" w:ascii="黑体" w:hAnsi="黑体" w:eastAsia="黑体"/>
                <w:szCs w:val="21"/>
              </w:rPr>
              <w:t>1</w:t>
            </w:r>
          </w:p>
        </w:tc>
        <w:tc>
          <w:tcPr>
            <w:tcW w:w="641" w:type="dxa"/>
            <w:vAlign w:val="center"/>
          </w:tcPr>
          <w:p w14:paraId="3F7CCCB0">
            <w:pPr>
              <w:widowControl/>
              <w:jc w:val="center"/>
              <w:rPr>
                <w:rFonts w:ascii="黑体" w:hAnsi="黑体" w:eastAsia="黑体"/>
                <w:szCs w:val="21"/>
              </w:rPr>
            </w:pPr>
            <w:r>
              <w:rPr>
                <w:rFonts w:hint="eastAsia" w:ascii="黑体" w:hAnsi="黑体" w:eastAsia="黑体"/>
                <w:szCs w:val="21"/>
              </w:rPr>
              <w:t>1</w:t>
            </w:r>
          </w:p>
        </w:tc>
        <w:tc>
          <w:tcPr>
            <w:tcW w:w="704" w:type="dxa"/>
            <w:vAlign w:val="center"/>
          </w:tcPr>
          <w:p w14:paraId="392E7E5E">
            <w:pPr>
              <w:widowControl/>
              <w:jc w:val="center"/>
              <w:rPr>
                <w:rFonts w:ascii="黑体" w:hAnsi="黑体" w:eastAsia="黑体"/>
                <w:szCs w:val="21"/>
              </w:rPr>
            </w:pPr>
            <w:r>
              <w:rPr>
                <w:rFonts w:hint="eastAsia" w:ascii="黑体" w:hAnsi="黑体" w:eastAsia="黑体"/>
                <w:szCs w:val="21"/>
              </w:rPr>
              <w:t>1</w:t>
            </w:r>
          </w:p>
        </w:tc>
        <w:tc>
          <w:tcPr>
            <w:tcW w:w="704" w:type="dxa"/>
            <w:vAlign w:val="center"/>
          </w:tcPr>
          <w:p w14:paraId="5AFA05D3">
            <w:pPr>
              <w:widowControl/>
              <w:jc w:val="center"/>
              <w:rPr>
                <w:rFonts w:ascii="黑体" w:hAnsi="黑体" w:eastAsia="黑体"/>
                <w:szCs w:val="21"/>
              </w:rPr>
            </w:pPr>
            <w:r>
              <w:rPr>
                <w:rFonts w:hint="eastAsia" w:ascii="黑体" w:hAnsi="黑体" w:eastAsia="黑体"/>
                <w:szCs w:val="21"/>
              </w:rPr>
              <w:t>1</w:t>
            </w:r>
          </w:p>
        </w:tc>
        <w:tc>
          <w:tcPr>
            <w:tcW w:w="704" w:type="dxa"/>
            <w:vAlign w:val="center"/>
          </w:tcPr>
          <w:p w14:paraId="505A17E5">
            <w:pPr>
              <w:widowControl/>
              <w:jc w:val="center"/>
              <w:rPr>
                <w:rFonts w:ascii="黑体" w:hAnsi="黑体" w:eastAsia="黑体"/>
                <w:szCs w:val="21"/>
              </w:rPr>
            </w:pPr>
          </w:p>
        </w:tc>
        <w:tc>
          <w:tcPr>
            <w:tcW w:w="842" w:type="dxa"/>
            <w:vAlign w:val="center"/>
          </w:tcPr>
          <w:p w14:paraId="62A34A88">
            <w:pPr>
              <w:widowControl/>
              <w:jc w:val="center"/>
              <w:rPr>
                <w:rFonts w:ascii="黑体" w:hAnsi="黑体" w:eastAsia="黑体"/>
                <w:szCs w:val="21"/>
              </w:rPr>
            </w:pPr>
            <w:r>
              <w:rPr>
                <w:rFonts w:hint="eastAsia" w:ascii="黑体" w:hAnsi="黑体" w:eastAsia="黑体"/>
                <w:szCs w:val="21"/>
              </w:rPr>
              <w:t>1</w:t>
            </w:r>
          </w:p>
        </w:tc>
        <w:tc>
          <w:tcPr>
            <w:tcW w:w="753" w:type="dxa"/>
            <w:vMerge w:val="continue"/>
            <w:vAlign w:val="center"/>
          </w:tcPr>
          <w:p w14:paraId="120D1B7F">
            <w:pPr>
              <w:widowControl/>
              <w:jc w:val="center"/>
              <w:rPr>
                <w:rFonts w:ascii="黑体" w:hAnsi="黑体" w:eastAsia="黑体"/>
                <w:szCs w:val="21"/>
              </w:rPr>
            </w:pPr>
          </w:p>
        </w:tc>
      </w:tr>
      <w:tr w14:paraId="0A9E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6E99FC62">
            <w:pPr>
              <w:widowControl/>
              <w:jc w:val="center"/>
              <w:rPr>
                <w:rFonts w:ascii="黑体" w:hAnsi="黑体" w:eastAsia="黑体"/>
                <w:szCs w:val="21"/>
              </w:rPr>
            </w:pPr>
          </w:p>
        </w:tc>
        <w:tc>
          <w:tcPr>
            <w:tcW w:w="2470" w:type="dxa"/>
            <w:gridSpan w:val="2"/>
            <w:vAlign w:val="center"/>
          </w:tcPr>
          <w:p w14:paraId="5610A150">
            <w:pPr>
              <w:widowControl/>
              <w:jc w:val="center"/>
              <w:rPr>
                <w:rFonts w:ascii="黑体" w:hAnsi="黑体" w:eastAsia="黑体"/>
                <w:szCs w:val="21"/>
              </w:rPr>
            </w:pPr>
            <w:r>
              <w:rPr>
                <w:rFonts w:hint="eastAsia" w:ascii="黑体" w:hAnsi="黑体" w:eastAsia="黑体"/>
                <w:szCs w:val="21"/>
              </w:rPr>
              <w:t>小计</w:t>
            </w:r>
          </w:p>
        </w:tc>
        <w:tc>
          <w:tcPr>
            <w:tcW w:w="780" w:type="dxa"/>
            <w:vAlign w:val="center"/>
          </w:tcPr>
          <w:p w14:paraId="2DE2FA5B">
            <w:pPr>
              <w:widowControl/>
              <w:jc w:val="center"/>
              <w:rPr>
                <w:rFonts w:ascii="黑体" w:hAnsi="黑体" w:eastAsia="黑体"/>
                <w:szCs w:val="21"/>
              </w:rPr>
            </w:pPr>
            <w:r>
              <w:rPr>
                <w:rFonts w:hint="eastAsia" w:ascii="黑体" w:hAnsi="黑体" w:eastAsia="黑体"/>
                <w:szCs w:val="21"/>
              </w:rPr>
              <w:t>1278</w:t>
            </w:r>
          </w:p>
        </w:tc>
        <w:tc>
          <w:tcPr>
            <w:tcW w:w="600" w:type="dxa"/>
            <w:vAlign w:val="center"/>
          </w:tcPr>
          <w:p w14:paraId="33AAE762">
            <w:pPr>
              <w:widowControl/>
              <w:jc w:val="center"/>
              <w:rPr>
                <w:rFonts w:hint="default" w:ascii="黑体" w:hAnsi="黑体" w:eastAsia="黑体"/>
                <w:szCs w:val="21"/>
                <w:lang w:val="en-US" w:eastAsia="zh-CN"/>
              </w:rPr>
            </w:pPr>
            <w:r>
              <w:rPr>
                <w:rFonts w:hint="eastAsia" w:ascii="黑体" w:hAnsi="黑体" w:eastAsia="黑体"/>
                <w:szCs w:val="21"/>
                <w:lang w:val="en-US" w:eastAsia="zh-CN"/>
              </w:rPr>
              <w:t>18</w:t>
            </w:r>
          </w:p>
        </w:tc>
        <w:tc>
          <w:tcPr>
            <w:tcW w:w="641" w:type="dxa"/>
            <w:vAlign w:val="center"/>
          </w:tcPr>
          <w:p w14:paraId="7B28BC40">
            <w:pPr>
              <w:widowControl/>
              <w:jc w:val="center"/>
              <w:rPr>
                <w:rFonts w:hint="default" w:ascii="黑体" w:hAnsi="黑体" w:eastAsia="黑体"/>
                <w:szCs w:val="21"/>
                <w:lang w:val="en-US" w:eastAsia="zh-CN"/>
              </w:rPr>
            </w:pPr>
            <w:r>
              <w:rPr>
                <w:rFonts w:hint="eastAsia" w:ascii="黑体" w:hAnsi="黑体" w:eastAsia="黑体"/>
                <w:szCs w:val="21"/>
                <w:lang w:val="en-US" w:eastAsia="zh-CN"/>
              </w:rPr>
              <w:t>18</w:t>
            </w:r>
          </w:p>
        </w:tc>
        <w:tc>
          <w:tcPr>
            <w:tcW w:w="704" w:type="dxa"/>
            <w:vAlign w:val="center"/>
          </w:tcPr>
          <w:p w14:paraId="51712D92">
            <w:pPr>
              <w:widowControl/>
              <w:jc w:val="center"/>
              <w:rPr>
                <w:rFonts w:hint="default" w:ascii="黑体" w:hAnsi="黑体" w:eastAsia="黑体"/>
                <w:szCs w:val="21"/>
                <w:lang w:val="en-US" w:eastAsia="zh-CN"/>
              </w:rPr>
            </w:pPr>
            <w:r>
              <w:rPr>
                <w:rFonts w:hint="eastAsia" w:ascii="黑体" w:hAnsi="黑体" w:eastAsia="黑体"/>
                <w:szCs w:val="21"/>
                <w:lang w:val="en-US" w:eastAsia="zh-CN"/>
              </w:rPr>
              <w:t>15</w:t>
            </w:r>
          </w:p>
        </w:tc>
        <w:tc>
          <w:tcPr>
            <w:tcW w:w="704" w:type="dxa"/>
            <w:vAlign w:val="center"/>
          </w:tcPr>
          <w:p w14:paraId="07568F49">
            <w:pPr>
              <w:widowControl/>
              <w:jc w:val="center"/>
              <w:rPr>
                <w:rFonts w:hint="default" w:ascii="黑体" w:hAnsi="黑体" w:eastAsia="黑体"/>
                <w:szCs w:val="21"/>
                <w:lang w:val="en-US" w:eastAsia="zh-CN"/>
              </w:rPr>
            </w:pPr>
            <w:r>
              <w:rPr>
                <w:rFonts w:hint="eastAsia" w:ascii="黑体" w:hAnsi="黑体" w:eastAsia="黑体"/>
                <w:szCs w:val="21"/>
                <w:lang w:val="en-US" w:eastAsia="zh-CN"/>
              </w:rPr>
              <w:t>15</w:t>
            </w:r>
          </w:p>
        </w:tc>
        <w:tc>
          <w:tcPr>
            <w:tcW w:w="704" w:type="dxa"/>
            <w:vAlign w:val="center"/>
          </w:tcPr>
          <w:p w14:paraId="09B2F88C">
            <w:pPr>
              <w:widowControl/>
              <w:jc w:val="center"/>
              <w:rPr>
                <w:rFonts w:ascii="黑体" w:hAnsi="黑体" w:eastAsia="黑体"/>
                <w:szCs w:val="21"/>
              </w:rPr>
            </w:pPr>
          </w:p>
        </w:tc>
        <w:tc>
          <w:tcPr>
            <w:tcW w:w="842" w:type="dxa"/>
            <w:vAlign w:val="center"/>
          </w:tcPr>
          <w:p w14:paraId="19424D7F">
            <w:pPr>
              <w:widowControl/>
              <w:jc w:val="center"/>
              <w:rPr>
                <w:rFonts w:hint="eastAsia" w:ascii="黑体" w:hAnsi="黑体" w:eastAsia="黑体"/>
                <w:szCs w:val="21"/>
                <w:lang w:val="en-US" w:eastAsia="zh-CN"/>
              </w:rPr>
            </w:pPr>
            <w:r>
              <w:rPr>
                <w:rFonts w:hint="eastAsia" w:ascii="黑体" w:hAnsi="黑体" w:eastAsia="黑体"/>
                <w:szCs w:val="21"/>
                <w:lang w:val="en-US" w:eastAsia="zh-CN"/>
              </w:rPr>
              <w:t>5</w:t>
            </w:r>
          </w:p>
        </w:tc>
        <w:tc>
          <w:tcPr>
            <w:tcW w:w="753" w:type="dxa"/>
            <w:vMerge w:val="continue"/>
            <w:vAlign w:val="center"/>
          </w:tcPr>
          <w:p w14:paraId="4A5EB557">
            <w:pPr>
              <w:widowControl/>
              <w:jc w:val="center"/>
              <w:rPr>
                <w:rFonts w:ascii="黑体" w:hAnsi="黑体" w:eastAsia="黑体"/>
                <w:szCs w:val="21"/>
              </w:rPr>
            </w:pPr>
          </w:p>
        </w:tc>
      </w:tr>
      <w:tr w14:paraId="365A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vAlign w:val="center"/>
          </w:tcPr>
          <w:p w14:paraId="2A14E69A">
            <w:pPr>
              <w:widowControl/>
              <w:jc w:val="center"/>
              <w:rPr>
                <w:rFonts w:ascii="黑体" w:hAnsi="黑体" w:eastAsia="黑体"/>
                <w:szCs w:val="21"/>
              </w:rPr>
            </w:pPr>
            <w:r>
              <w:rPr>
                <w:rFonts w:hint="eastAsia" w:ascii="黑体" w:hAnsi="黑体" w:eastAsia="黑体"/>
                <w:szCs w:val="21"/>
              </w:rPr>
              <w:t>专</w:t>
            </w:r>
          </w:p>
          <w:p w14:paraId="3BF00CB7">
            <w:pPr>
              <w:widowControl/>
              <w:jc w:val="center"/>
              <w:rPr>
                <w:rFonts w:ascii="黑体" w:hAnsi="黑体" w:eastAsia="黑体"/>
                <w:szCs w:val="21"/>
              </w:rPr>
            </w:pPr>
            <w:r>
              <w:rPr>
                <w:rFonts w:hint="eastAsia" w:ascii="黑体" w:hAnsi="黑体" w:eastAsia="黑体"/>
                <w:szCs w:val="21"/>
              </w:rPr>
              <w:t>业（技能）课</w:t>
            </w:r>
          </w:p>
        </w:tc>
        <w:tc>
          <w:tcPr>
            <w:tcW w:w="426" w:type="dxa"/>
            <w:vAlign w:val="center"/>
          </w:tcPr>
          <w:p w14:paraId="70820B1A">
            <w:pPr>
              <w:widowControl/>
              <w:jc w:val="center"/>
              <w:rPr>
                <w:rFonts w:ascii="黑体" w:hAnsi="黑体" w:eastAsia="黑体"/>
                <w:szCs w:val="21"/>
              </w:rPr>
            </w:pPr>
            <w:r>
              <w:rPr>
                <w:rFonts w:hint="eastAsia" w:ascii="黑体" w:hAnsi="黑体" w:eastAsia="黑体"/>
                <w:szCs w:val="21"/>
              </w:rPr>
              <w:t>1</w:t>
            </w:r>
          </w:p>
        </w:tc>
        <w:tc>
          <w:tcPr>
            <w:tcW w:w="2044" w:type="dxa"/>
            <w:shd w:val="clear" w:color="auto" w:fill="auto"/>
            <w:vAlign w:val="top"/>
          </w:tcPr>
          <w:p w14:paraId="6DF56535">
            <w:pPr>
              <w:spacing w:before="56" w:line="219" w:lineRule="auto"/>
              <w:ind w:left="489" w:leftChars="0"/>
              <w:rPr>
                <w:rFonts w:ascii="黑体" w:hAnsi="黑体" w:eastAsia="黑体" w:cs="黑体"/>
                <w:kern w:val="2"/>
                <w:sz w:val="21"/>
                <w:szCs w:val="21"/>
                <w:lang w:val="en-US" w:eastAsia="zh-CN" w:bidi="ar-SA"/>
              </w:rPr>
            </w:pPr>
            <w:r>
              <w:rPr>
                <w:rFonts w:ascii="黑体" w:hAnsi="黑体" w:eastAsia="黑体" w:cs="黑体"/>
                <w:spacing w:val="-2"/>
                <w:sz w:val="21"/>
                <w:szCs w:val="21"/>
              </w:rPr>
              <w:t>基础会计</w:t>
            </w:r>
          </w:p>
        </w:tc>
        <w:tc>
          <w:tcPr>
            <w:tcW w:w="780" w:type="dxa"/>
            <w:shd w:val="clear" w:color="auto" w:fill="auto"/>
            <w:vAlign w:val="top"/>
          </w:tcPr>
          <w:p w14:paraId="75B7DF15">
            <w:pPr>
              <w:spacing w:before="55" w:line="220" w:lineRule="auto"/>
              <w:ind w:left="111" w:leftChars="0"/>
              <w:rPr>
                <w:rFonts w:hint="default" w:ascii="黑体" w:hAnsi="黑体" w:eastAsia="黑体" w:cs="黑体"/>
                <w:kern w:val="2"/>
                <w:sz w:val="21"/>
                <w:szCs w:val="21"/>
                <w:lang w:val="en-US" w:eastAsia="zh-CN" w:bidi="ar-SA"/>
              </w:rPr>
            </w:pPr>
            <w:r>
              <w:rPr>
                <w:rFonts w:hint="eastAsia" w:ascii="黑体" w:hAnsi="黑体" w:eastAsia="黑体" w:cs="黑体"/>
                <w:spacing w:val="-2"/>
                <w:sz w:val="21"/>
                <w:szCs w:val="21"/>
                <w:lang w:val="en-US" w:eastAsia="zh-CN"/>
              </w:rPr>
              <w:t>270</w:t>
            </w:r>
          </w:p>
        </w:tc>
        <w:tc>
          <w:tcPr>
            <w:tcW w:w="600" w:type="dxa"/>
            <w:shd w:val="clear" w:color="auto" w:fill="auto"/>
            <w:vAlign w:val="top"/>
          </w:tcPr>
          <w:p w14:paraId="740E0D73">
            <w:pPr>
              <w:spacing w:before="55" w:line="220" w:lineRule="auto"/>
              <w:ind w:left="108" w:leftChars="0"/>
              <w:rPr>
                <w:rFonts w:ascii="黑体" w:hAnsi="黑体" w:eastAsia="黑体" w:cs="黑体"/>
                <w:kern w:val="2"/>
                <w:sz w:val="21"/>
                <w:szCs w:val="21"/>
                <w:lang w:val="en-US" w:eastAsia="zh-CN" w:bidi="ar-SA"/>
              </w:rPr>
            </w:pPr>
            <w:r>
              <w:rPr>
                <w:rFonts w:ascii="黑体" w:hAnsi="黑体" w:eastAsia="黑体" w:cs="黑体"/>
                <w:sz w:val="21"/>
                <w:szCs w:val="21"/>
              </w:rPr>
              <w:t>5</w:t>
            </w:r>
          </w:p>
        </w:tc>
        <w:tc>
          <w:tcPr>
            <w:tcW w:w="641" w:type="dxa"/>
            <w:shd w:val="clear" w:color="auto" w:fill="auto"/>
            <w:vAlign w:val="top"/>
          </w:tcPr>
          <w:p w14:paraId="40A2BF35">
            <w:pPr>
              <w:spacing w:before="55" w:line="220" w:lineRule="auto"/>
              <w:ind w:left="108" w:leftChars="0"/>
              <w:rPr>
                <w:rFonts w:ascii="黑体" w:hAnsi="黑体" w:eastAsia="黑体" w:cs="黑体"/>
                <w:kern w:val="2"/>
                <w:sz w:val="21"/>
                <w:szCs w:val="21"/>
                <w:lang w:val="en-US" w:eastAsia="zh-CN" w:bidi="ar-SA"/>
              </w:rPr>
            </w:pPr>
            <w:r>
              <w:rPr>
                <w:rFonts w:ascii="黑体" w:hAnsi="黑体" w:eastAsia="黑体" w:cs="黑体"/>
                <w:sz w:val="21"/>
                <w:szCs w:val="21"/>
              </w:rPr>
              <w:t>5</w:t>
            </w:r>
          </w:p>
        </w:tc>
        <w:tc>
          <w:tcPr>
            <w:tcW w:w="704" w:type="dxa"/>
            <w:shd w:val="clear" w:color="auto" w:fill="auto"/>
            <w:vAlign w:val="top"/>
          </w:tcPr>
          <w:p w14:paraId="1E1D63E9">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7C8E5EC5">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5CF4C4EC">
            <w:pPr>
              <w:spacing w:before="56" w:line="220" w:lineRule="auto"/>
              <w:ind w:left="111" w:leftChars="0"/>
              <w:rPr>
                <w:rFonts w:hint="eastAsia" w:ascii="黑体" w:hAnsi="黑体" w:eastAsia="黑体" w:cs="黑体"/>
                <w:spacing w:val="-2"/>
                <w:sz w:val="21"/>
                <w:szCs w:val="21"/>
                <w:lang w:val="en-US" w:eastAsia="zh-CN"/>
              </w:rPr>
            </w:pPr>
          </w:p>
        </w:tc>
        <w:tc>
          <w:tcPr>
            <w:tcW w:w="842" w:type="dxa"/>
            <w:shd w:val="clear" w:color="auto" w:fill="auto"/>
            <w:vAlign w:val="top"/>
          </w:tcPr>
          <w:p w14:paraId="458CBCA0">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w:t>
            </w:r>
          </w:p>
        </w:tc>
        <w:tc>
          <w:tcPr>
            <w:tcW w:w="753" w:type="dxa"/>
            <w:vMerge w:val="restart"/>
            <w:vAlign w:val="center"/>
          </w:tcPr>
          <w:p w14:paraId="70B7C876">
            <w:pPr>
              <w:widowControl/>
              <w:jc w:val="center"/>
              <w:rPr>
                <w:rFonts w:ascii="黑体" w:hAnsi="黑体" w:eastAsia="黑体"/>
                <w:szCs w:val="21"/>
              </w:rPr>
            </w:pPr>
            <w:r>
              <w:rPr>
                <w:rFonts w:hint="eastAsia" w:ascii="黑体" w:hAnsi="黑体" w:eastAsia="黑体"/>
                <w:szCs w:val="21"/>
              </w:rPr>
              <w:t>46%</w:t>
            </w:r>
          </w:p>
        </w:tc>
      </w:tr>
      <w:tr w14:paraId="4A91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551F5815">
            <w:pPr>
              <w:widowControl/>
              <w:jc w:val="center"/>
              <w:rPr>
                <w:rFonts w:ascii="黑体" w:hAnsi="黑体" w:eastAsia="黑体"/>
                <w:szCs w:val="21"/>
              </w:rPr>
            </w:pPr>
          </w:p>
        </w:tc>
        <w:tc>
          <w:tcPr>
            <w:tcW w:w="426" w:type="dxa"/>
            <w:vAlign w:val="center"/>
          </w:tcPr>
          <w:p w14:paraId="1B40D1E5">
            <w:pPr>
              <w:widowControl/>
              <w:jc w:val="center"/>
              <w:rPr>
                <w:rFonts w:ascii="黑体" w:hAnsi="黑体" w:eastAsia="黑体"/>
                <w:szCs w:val="21"/>
              </w:rPr>
            </w:pPr>
            <w:r>
              <w:rPr>
                <w:rFonts w:hint="eastAsia" w:ascii="黑体" w:hAnsi="黑体" w:eastAsia="黑体"/>
                <w:szCs w:val="21"/>
              </w:rPr>
              <w:t>2</w:t>
            </w:r>
          </w:p>
        </w:tc>
        <w:tc>
          <w:tcPr>
            <w:tcW w:w="2044" w:type="dxa"/>
            <w:shd w:val="clear" w:color="auto" w:fill="auto"/>
            <w:vAlign w:val="top"/>
          </w:tcPr>
          <w:p w14:paraId="673FA92B">
            <w:pPr>
              <w:spacing w:before="58" w:line="220" w:lineRule="auto"/>
              <w:ind w:left="490" w:leftChars="0"/>
              <w:rPr>
                <w:rFonts w:ascii="黑体" w:hAnsi="黑体" w:eastAsia="黑体" w:cs="黑体"/>
                <w:kern w:val="2"/>
                <w:sz w:val="21"/>
                <w:szCs w:val="21"/>
                <w:lang w:val="en-US" w:eastAsia="zh-CN" w:bidi="ar-SA"/>
              </w:rPr>
            </w:pPr>
            <w:r>
              <w:rPr>
                <w:rFonts w:ascii="黑体" w:hAnsi="黑体" w:eastAsia="黑体" w:cs="黑体"/>
                <w:spacing w:val="-2"/>
                <w:sz w:val="21"/>
                <w:szCs w:val="21"/>
              </w:rPr>
              <w:t>财政金融</w:t>
            </w:r>
          </w:p>
        </w:tc>
        <w:tc>
          <w:tcPr>
            <w:tcW w:w="780" w:type="dxa"/>
            <w:shd w:val="clear" w:color="auto" w:fill="auto"/>
            <w:vAlign w:val="top"/>
          </w:tcPr>
          <w:p w14:paraId="1D778BA0">
            <w:pPr>
              <w:spacing w:before="58" w:line="220" w:lineRule="auto"/>
              <w:ind w:left="111" w:leftChars="0"/>
              <w:rPr>
                <w:rFonts w:hint="default" w:ascii="黑体" w:hAnsi="黑体" w:eastAsia="黑体" w:cs="黑体"/>
                <w:kern w:val="2"/>
                <w:sz w:val="21"/>
                <w:szCs w:val="21"/>
                <w:lang w:val="en-US" w:eastAsia="zh-CN" w:bidi="ar-SA"/>
              </w:rPr>
            </w:pPr>
            <w:r>
              <w:rPr>
                <w:rFonts w:hint="eastAsia" w:ascii="黑体" w:hAnsi="黑体" w:eastAsia="黑体" w:cs="黑体"/>
                <w:spacing w:val="-2"/>
                <w:sz w:val="21"/>
                <w:szCs w:val="21"/>
                <w:lang w:val="en-US" w:eastAsia="zh-CN"/>
              </w:rPr>
              <w:t>270</w:t>
            </w:r>
          </w:p>
        </w:tc>
        <w:tc>
          <w:tcPr>
            <w:tcW w:w="600" w:type="dxa"/>
            <w:shd w:val="clear" w:color="auto" w:fill="auto"/>
            <w:vAlign w:val="top"/>
          </w:tcPr>
          <w:p w14:paraId="7BC771A5">
            <w:pPr>
              <w:spacing w:before="58" w:line="220" w:lineRule="auto"/>
              <w:ind w:left="108" w:leftChars="0"/>
              <w:rPr>
                <w:rFonts w:ascii="黑体" w:hAnsi="黑体" w:eastAsia="黑体" w:cs="黑体"/>
                <w:kern w:val="2"/>
                <w:sz w:val="21"/>
                <w:szCs w:val="21"/>
                <w:lang w:val="en-US" w:eastAsia="zh-CN" w:bidi="ar-SA"/>
              </w:rPr>
            </w:pPr>
            <w:r>
              <w:rPr>
                <w:rFonts w:ascii="黑体" w:hAnsi="黑体" w:eastAsia="黑体" w:cs="黑体"/>
                <w:sz w:val="21"/>
                <w:szCs w:val="21"/>
              </w:rPr>
              <w:t>5</w:t>
            </w:r>
          </w:p>
        </w:tc>
        <w:tc>
          <w:tcPr>
            <w:tcW w:w="641" w:type="dxa"/>
            <w:shd w:val="clear" w:color="auto" w:fill="auto"/>
            <w:vAlign w:val="top"/>
          </w:tcPr>
          <w:p w14:paraId="510BD6B2">
            <w:pPr>
              <w:spacing w:before="58" w:line="220" w:lineRule="auto"/>
              <w:ind w:left="108" w:leftChars="0"/>
              <w:rPr>
                <w:rFonts w:ascii="黑体" w:hAnsi="黑体" w:eastAsia="黑体" w:cs="黑体"/>
                <w:kern w:val="2"/>
                <w:sz w:val="21"/>
                <w:szCs w:val="21"/>
                <w:lang w:val="en-US" w:eastAsia="zh-CN" w:bidi="ar-SA"/>
              </w:rPr>
            </w:pPr>
            <w:r>
              <w:rPr>
                <w:rFonts w:ascii="黑体" w:hAnsi="黑体" w:eastAsia="黑体" w:cs="黑体"/>
                <w:sz w:val="21"/>
                <w:szCs w:val="21"/>
              </w:rPr>
              <w:t>5</w:t>
            </w:r>
          </w:p>
        </w:tc>
        <w:tc>
          <w:tcPr>
            <w:tcW w:w="704" w:type="dxa"/>
            <w:shd w:val="clear" w:color="auto" w:fill="auto"/>
            <w:vAlign w:val="top"/>
          </w:tcPr>
          <w:p w14:paraId="67DB8E37">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2D5A2A8C">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22D5B191">
            <w:pPr>
              <w:spacing w:before="56" w:line="220" w:lineRule="auto"/>
              <w:ind w:left="111" w:leftChars="0"/>
              <w:rPr>
                <w:rFonts w:hint="eastAsia" w:ascii="黑体" w:hAnsi="黑体" w:eastAsia="黑体" w:cs="黑体"/>
                <w:spacing w:val="-2"/>
                <w:sz w:val="21"/>
                <w:szCs w:val="21"/>
                <w:lang w:val="en-US" w:eastAsia="zh-CN"/>
              </w:rPr>
            </w:pPr>
          </w:p>
        </w:tc>
        <w:tc>
          <w:tcPr>
            <w:tcW w:w="842" w:type="dxa"/>
            <w:shd w:val="clear" w:color="auto" w:fill="auto"/>
            <w:vAlign w:val="top"/>
          </w:tcPr>
          <w:p w14:paraId="609F20FF">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w:t>
            </w:r>
          </w:p>
        </w:tc>
        <w:tc>
          <w:tcPr>
            <w:tcW w:w="753" w:type="dxa"/>
            <w:vMerge w:val="continue"/>
            <w:vAlign w:val="center"/>
          </w:tcPr>
          <w:p w14:paraId="274A9D83">
            <w:pPr>
              <w:widowControl/>
              <w:jc w:val="center"/>
              <w:rPr>
                <w:rFonts w:ascii="黑体" w:hAnsi="黑体" w:eastAsia="黑体"/>
                <w:szCs w:val="21"/>
              </w:rPr>
            </w:pPr>
          </w:p>
        </w:tc>
      </w:tr>
      <w:tr w14:paraId="32D8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3A4C1BF4">
            <w:pPr>
              <w:widowControl/>
              <w:jc w:val="center"/>
              <w:rPr>
                <w:rFonts w:ascii="黑体" w:hAnsi="黑体" w:eastAsia="黑体"/>
                <w:szCs w:val="21"/>
              </w:rPr>
            </w:pPr>
          </w:p>
        </w:tc>
        <w:tc>
          <w:tcPr>
            <w:tcW w:w="426" w:type="dxa"/>
            <w:vAlign w:val="center"/>
          </w:tcPr>
          <w:p w14:paraId="6E926384">
            <w:pPr>
              <w:widowControl/>
              <w:jc w:val="center"/>
              <w:rPr>
                <w:rFonts w:ascii="黑体" w:hAnsi="黑体" w:eastAsia="黑体"/>
                <w:szCs w:val="21"/>
              </w:rPr>
            </w:pPr>
            <w:r>
              <w:rPr>
                <w:rFonts w:hint="eastAsia" w:ascii="黑体" w:hAnsi="黑体" w:eastAsia="黑体"/>
                <w:szCs w:val="21"/>
              </w:rPr>
              <w:t>3</w:t>
            </w:r>
          </w:p>
        </w:tc>
        <w:tc>
          <w:tcPr>
            <w:tcW w:w="2044" w:type="dxa"/>
            <w:shd w:val="clear" w:color="auto" w:fill="auto"/>
            <w:vAlign w:val="top"/>
          </w:tcPr>
          <w:p w14:paraId="6E750DC5">
            <w:pPr>
              <w:spacing w:before="56" w:line="219" w:lineRule="auto"/>
              <w:ind w:left="490" w:leftChars="0"/>
              <w:rPr>
                <w:rFonts w:ascii="黑体" w:hAnsi="黑体" w:eastAsia="黑体" w:cs="黑体"/>
                <w:kern w:val="2"/>
                <w:sz w:val="21"/>
                <w:szCs w:val="21"/>
                <w:lang w:val="en-US" w:eastAsia="zh-CN" w:bidi="ar-SA"/>
              </w:rPr>
            </w:pPr>
            <w:r>
              <w:rPr>
                <w:rFonts w:ascii="黑体" w:hAnsi="黑体" w:eastAsia="黑体" w:cs="黑体"/>
                <w:spacing w:val="-2"/>
                <w:sz w:val="21"/>
                <w:szCs w:val="21"/>
              </w:rPr>
              <w:t>财务会计</w:t>
            </w:r>
          </w:p>
        </w:tc>
        <w:tc>
          <w:tcPr>
            <w:tcW w:w="780" w:type="dxa"/>
            <w:shd w:val="clear" w:color="auto" w:fill="auto"/>
            <w:vAlign w:val="top"/>
          </w:tcPr>
          <w:p w14:paraId="1E7E45E0">
            <w:pPr>
              <w:spacing w:before="56" w:line="219" w:lineRule="auto"/>
              <w:ind w:left="111" w:leftChars="0"/>
              <w:rPr>
                <w:rFonts w:hint="default" w:ascii="黑体" w:hAnsi="黑体" w:eastAsia="黑体" w:cs="黑体"/>
                <w:kern w:val="2"/>
                <w:sz w:val="21"/>
                <w:szCs w:val="21"/>
                <w:lang w:val="en-US" w:eastAsia="zh-CN" w:bidi="ar-SA"/>
              </w:rPr>
            </w:pPr>
            <w:r>
              <w:rPr>
                <w:rFonts w:hint="eastAsia" w:ascii="黑体" w:hAnsi="黑体" w:eastAsia="黑体" w:cs="黑体"/>
                <w:spacing w:val="-2"/>
                <w:sz w:val="21"/>
                <w:szCs w:val="21"/>
                <w:lang w:val="en-US" w:eastAsia="zh-CN"/>
              </w:rPr>
              <w:t>342</w:t>
            </w:r>
          </w:p>
        </w:tc>
        <w:tc>
          <w:tcPr>
            <w:tcW w:w="600" w:type="dxa"/>
            <w:shd w:val="clear" w:color="auto" w:fill="auto"/>
            <w:vAlign w:val="top"/>
          </w:tcPr>
          <w:p w14:paraId="5BC33732">
            <w:pPr>
              <w:rPr>
                <w:rFonts w:ascii="Arial" w:hAnsiTheme="minorHAnsi" w:eastAsiaTheme="minorEastAsia" w:cstheme="minorBidi"/>
                <w:kern w:val="2"/>
                <w:sz w:val="21"/>
                <w:szCs w:val="22"/>
                <w:lang w:val="en-US" w:eastAsia="zh-CN" w:bidi="ar-SA"/>
              </w:rPr>
            </w:pPr>
          </w:p>
        </w:tc>
        <w:tc>
          <w:tcPr>
            <w:tcW w:w="641" w:type="dxa"/>
            <w:shd w:val="clear" w:color="auto" w:fill="auto"/>
            <w:vAlign w:val="top"/>
          </w:tcPr>
          <w:p w14:paraId="1CD30547">
            <w:pPr>
              <w:rPr>
                <w:rFonts w:ascii="Arial" w:hAnsiTheme="minorHAnsi" w:eastAsiaTheme="minorEastAsia" w:cstheme="minorBidi"/>
                <w:kern w:val="2"/>
                <w:sz w:val="21"/>
                <w:szCs w:val="22"/>
                <w:lang w:val="en-US" w:eastAsia="zh-CN" w:bidi="ar-SA"/>
              </w:rPr>
            </w:pPr>
          </w:p>
        </w:tc>
        <w:tc>
          <w:tcPr>
            <w:tcW w:w="704" w:type="dxa"/>
            <w:shd w:val="clear" w:color="auto" w:fill="auto"/>
            <w:vAlign w:val="top"/>
          </w:tcPr>
          <w:p w14:paraId="53B5381A">
            <w:pPr>
              <w:spacing w:before="56" w:line="220" w:lineRule="auto"/>
              <w:ind w:left="111" w:leftChars="0"/>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7</w:t>
            </w:r>
          </w:p>
        </w:tc>
        <w:tc>
          <w:tcPr>
            <w:tcW w:w="704" w:type="dxa"/>
            <w:shd w:val="clear" w:color="auto" w:fill="auto"/>
            <w:vAlign w:val="top"/>
          </w:tcPr>
          <w:p w14:paraId="1F0EFE84">
            <w:pPr>
              <w:spacing w:before="56" w:line="220" w:lineRule="auto"/>
              <w:ind w:left="111" w:leftChars="0"/>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7</w:t>
            </w:r>
          </w:p>
        </w:tc>
        <w:tc>
          <w:tcPr>
            <w:tcW w:w="704" w:type="dxa"/>
            <w:shd w:val="clear" w:color="auto" w:fill="auto"/>
            <w:vAlign w:val="top"/>
          </w:tcPr>
          <w:p w14:paraId="332EF354">
            <w:pPr>
              <w:spacing w:before="56" w:line="220" w:lineRule="auto"/>
              <w:ind w:left="111" w:leftChars="0"/>
              <w:rPr>
                <w:rFonts w:hint="eastAsia" w:ascii="黑体" w:hAnsi="黑体" w:eastAsia="黑体" w:cs="黑体"/>
                <w:spacing w:val="-2"/>
                <w:sz w:val="21"/>
                <w:szCs w:val="21"/>
                <w:lang w:val="en-US" w:eastAsia="zh-CN"/>
              </w:rPr>
            </w:pPr>
          </w:p>
        </w:tc>
        <w:tc>
          <w:tcPr>
            <w:tcW w:w="842" w:type="dxa"/>
            <w:shd w:val="clear" w:color="auto" w:fill="auto"/>
            <w:vAlign w:val="top"/>
          </w:tcPr>
          <w:p w14:paraId="7297563E">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w:t>
            </w:r>
          </w:p>
        </w:tc>
        <w:tc>
          <w:tcPr>
            <w:tcW w:w="753" w:type="dxa"/>
            <w:vMerge w:val="continue"/>
            <w:vAlign w:val="center"/>
          </w:tcPr>
          <w:p w14:paraId="6344F5B8">
            <w:pPr>
              <w:widowControl/>
              <w:jc w:val="center"/>
              <w:rPr>
                <w:rFonts w:ascii="黑体" w:hAnsi="黑体" w:eastAsia="黑体"/>
                <w:szCs w:val="21"/>
              </w:rPr>
            </w:pPr>
          </w:p>
        </w:tc>
      </w:tr>
      <w:tr w14:paraId="142E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50973102">
            <w:pPr>
              <w:widowControl/>
              <w:jc w:val="center"/>
              <w:rPr>
                <w:rFonts w:ascii="黑体" w:hAnsi="黑体" w:eastAsia="黑体"/>
                <w:szCs w:val="21"/>
              </w:rPr>
            </w:pPr>
          </w:p>
        </w:tc>
        <w:tc>
          <w:tcPr>
            <w:tcW w:w="426" w:type="dxa"/>
            <w:vAlign w:val="center"/>
          </w:tcPr>
          <w:p w14:paraId="4FFE54A9">
            <w:pPr>
              <w:widowControl/>
              <w:jc w:val="center"/>
              <w:rPr>
                <w:rFonts w:ascii="黑体" w:hAnsi="黑体" w:eastAsia="黑体"/>
                <w:szCs w:val="21"/>
              </w:rPr>
            </w:pPr>
            <w:r>
              <w:rPr>
                <w:rFonts w:hint="eastAsia" w:ascii="黑体" w:hAnsi="黑体" w:eastAsia="黑体"/>
                <w:szCs w:val="21"/>
              </w:rPr>
              <w:t>4</w:t>
            </w:r>
          </w:p>
        </w:tc>
        <w:tc>
          <w:tcPr>
            <w:tcW w:w="2044" w:type="dxa"/>
            <w:shd w:val="clear" w:color="auto" w:fill="auto"/>
            <w:vAlign w:val="top"/>
          </w:tcPr>
          <w:p w14:paraId="474E825E">
            <w:pPr>
              <w:spacing w:before="56" w:line="220" w:lineRule="auto"/>
              <w:ind w:left="487" w:leftChars="0"/>
              <w:rPr>
                <w:rFonts w:ascii="黑体" w:hAnsi="黑体" w:eastAsia="黑体" w:cs="黑体"/>
                <w:kern w:val="2"/>
                <w:sz w:val="21"/>
                <w:szCs w:val="21"/>
                <w:lang w:val="en-US" w:eastAsia="zh-CN" w:bidi="ar-SA"/>
              </w:rPr>
            </w:pPr>
            <w:r>
              <w:rPr>
                <w:rFonts w:ascii="黑体" w:hAnsi="黑体" w:eastAsia="黑体" w:cs="黑体"/>
                <w:spacing w:val="-1"/>
                <w:sz w:val="21"/>
                <w:szCs w:val="21"/>
              </w:rPr>
              <w:t>成本会计</w:t>
            </w:r>
          </w:p>
        </w:tc>
        <w:tc>
          <w:tcPr>
            <w:tcW w:w="780" w:type="dxa"/>
            <w:shd w:val="clear" w:color="auto" w:fill="auto"/>
            <w:vAlign w:val="top"/>
          </w:tcPr>
          <w:p w14:paraId="245415CA">
            <w:pPr>
              <w:spacing w:before="56" w:line="220" w:lineRule="auto"/>
              <w:ind w:left="111" w:leftChars="0"/>
              <w:rPr>
                <w:rFonts w:hint="default" w:ascii="黑体" w:hAnsi="黑体" w:eastAsia="黑体" w:cs="黑体"/>
                <w:kern w:val="2"/>
                <w:sz w:val="21"/>
                <w:szCs w:val="21"/>
                <w:lang w:val="en-US" w:eastAsia="zh-CN" w:bidi="ar-SA"/>
              </w:rPr>
            </w:pPr>
            <w:r>
              <w:rPr>
                <w:rFonts w:hint="eastAsia" w:ascii="黑体" w:hAnsi="黑体" w:eastAsia="黑体" w:cs="黑体"/>
                <w:spacing w:val="-2"/>
                <w:sz w:val="21"/>
                <w:szCs w:val="21"/>
                <w:lang w:val="en-US" w:eastAsia="zh-CN"/>
              </w:rPr>
              <w:t>270</w:t>
            </w:r>
          </w:p>
        </w:tc>
        <w:tc>
          <w:tcPr>
            <w:tcW w:w="600" w:type="dxa"/>
            <w:shd w:val="clear" w:color="auto" w:fill="auto"/>
            <w:vAlign w:val="top"/>
          </w:tcPr>
          <w:p w14:paraId="73774BB3">
            <w:pPr>
              <w:rPr>
                <w:rFonts w:ascii="Arial" w:hAnsiTheme="minorHAnsi" w:eastAsiaTheme="minorEastAsia" w:cstheme="minorBidi"/>
                <w:kern w:val="2"/>
                <w:sz w:val="21"/>
                <w:szCs w:val="22"/>
                <w:lang w:val="en-US" w:eastAsia="zh-CN" w:bidi="ar-SA"/>
              </w:rPr>
            </w:pPr>
          </w:p>
        </w:tc>
        <w:tc>
          <w:tcPr>
            <w:tcW w:w="641" w:type="dxa"/>
            <w:shd w:val="clear" w:color="auto" w:fill="auto"/>
            <w:vAlign w:val="top"/>
          </w:tcPr>
          <w:p w14:paraId="5FA17E3B">
            <w:pPr>
              <w:rPr>
                <w:rFonts w:ascii="Arial" w:hAnsiTheme="minorHAnsi" w:eastAsiaTheme="minorEastAsia" w:cstheme="minorBidi"/>
                <w:kern w:val="2"/>
                <w:sz w:val="21"/>
                <w:szCs w:val="22"/>
                <w:lang w:val="en-US" w:eastAsia="zh-CN" w:bidi="ar-SA"/>
              </w:rPr>
            </w:pPr>
          </w:p>
        </w:tc>
        <w:tc>
          <w:tcPr>
            <w:tcW w:w="704" w:type="dxa"/>
            <w:shd w:val="clear" w:color="auto" w:fill="auto"/>
            <w:vAlign w:val="top"/>
          </w:tcPr>
          <w:p w14:paraId="031D17BA">
            <w:pPr>
              <w:spacing w:before="56" w:line="220" w:lineRule="auto"/>
              <w:ind w:left="111" w:leftChars="0"/>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w:t>
            </w:r>
          </w:p>
        </w:tc>
        <w:tc>
          <w:tcPr>
            <w:tcW w:w="704" w:type="dxa"/>
            <w:shd w:val="clear" w:color="auto" w:fill="auto"/>
            <w:vAlign w:val="top"/>
          </w:tcPr>
          <w:p w14:paraId="3CA504C0">
            <w:pPr>
              <w:spacing w:before="56" w:line="220" w:lineRule="auto"/>
              <w:ind w:left="111" w:leftChars="0"/>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w:t>
            </w:r>
          </w:p>
        </w:tc>
        <w:tc>
          <w:tcPr>
            <w:tcW w:w="704" w:type="dxa"/>
            <w:shd w:val="clear" w:color="auto" w:fill="auto"/>
            <w:vAlign w:val="top"/>
          </w:tcPr>
          <w:p w14:paraId="7281078B">
            <w:pPr>
              <w:spacing w:before="56" w:line="220" w:lineRule="auto"/>
              <w:ind w:left="111" w:leftChars="0"/>
              <w:rPr>
                <w:rFonts w:hint="eastAsia" w:ascii="黑体" w:hAnsi="黑体" w:eastAsia="黑体" w:cs="黑体"/>
                <w:spacing w:val="-2"/>
                <w:sz w:val="21"/>
                <w:szCs w:val="21"/>
                <w:lang w:val="en-US" w:eastAsia="zh-CN"/>
              </w:rPr>
            </w:pPr>
          </w:p>
        </w:tc>
        <w:tc>
          <w:tcPr>
            <w:tcW w:w="842" w:type="dxa"/>
            <w:shd w:val="clear" w:color="auto" w:fill="auto"/>
            <w:vAlign w:val="top"/>
          </w:tcPr>
          <w:p w14:paraId="445E8436">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w:t>
            </w:r>
          </w:p>
        </w:tc>
        <w:tc>
          <w:tcPr>
            <w:tcW w:w="753" w:type="dxa"/>
            <w:vMerge w:val="continue"/>
            <w:vAlign w:val="center"/>
          </w:tcPr>
          <w:p w14:paraId="3E822D5F">
            <w:pPr>
              <w:widowControl/>
              <w:jc w:val="center"/>
              <w:rPr>
                <w:rFonts w:ascii="黑体" w:hAnsi="黑体" w:eastAsia="黑体"/>
                <w:szCs w:val="21"/>
              </w:rPr>
            </w:pPr>
          </w:p>
        </w:tc>
      </w:tr>
      <w:tr w14:paraId="61C6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38CBBFF1">
            <w:pPr>
              <w:widowControl/>
              <w:jc w:val="center"/>
              <w:rPr>
                <w:rFonts w:ascii="黑体" w:hAnsi="黑体" w:eastAsia="黑体"/>
                <w:szCs w:val="21"/>
              </w:rPr>
            </w:pPr>
          </w:p>
        </w:tc>
        <w:tc>
          <w:tcPr>
            <w:tcW w:w="426" w:type="dxa"/>
            <w:vAlign w:val="center"/>
          </w:tcPr>
          <w:p w14:paraId="7E2CF9A7">
            <w:pPr>
              <w:widowControl/>
              <w:jc w:val="center"/>
              <w:rPr>
                <w:rFonts w:ascii="黑体" w:hAnsi="黑体" w:eastAsia="黑体"/>
                <w:szCs w:val="21"/>
              </w:rPr>
            </w:pPr>
            <w:r>
              <w:rPr>
                <w:rFonts w:hint="eastAsia" w:ascii="黑体" w:hAnsi="黑体" w:eastAsia="黑体"/>
                <w:szCs w:val="21"/>
              </w:rPr>
              <w:t>5</w:t>
            </w:r>
          </w:p>
        </w:tc>
        <w:tc>
          <w:tcPr>
            <w:tcW w:w="2044" w:type="dxa"/>
            <w:shd w:val="clear" w:color="auto" w:fill="auto"/>
            <w:vAlign w:val="top"/>
          </w:tcPr>
          <w:p w14:paraId="58242DF6">
            <w:pPr>
              <w:spacing w:before="56" w:line="219" w:lineRule="auto"/>
              <w:ind w:left="381" w:leftChars="0"/>
              <w:rPr>
                <w:rFonts w:ascii="黑体" w:hAnsi="黑体" w:eastAsia="黑体" w:cs="黑体"/>
                <w:kern w:val="2"/>
                <w:sz w:val="21"/>
                <w:szCs w:val="21"/>
                <w:lang w:val="en-US" w:eastAsia="zh-CN" w:bidi="ar-SA"/>
              </w:rPr>
            </w:pPr>
            <w:r>
              <w:rPr>
                <w:rFonts w:ascii="黑体" w:hAnsi="黑体" w:eastAsia="黑体" w:cs="黑体"/>
                <w:spacing w:val="-1"/>
                <w:sz w:val="21"/>
                <w:szCs w:val="21"/>
              </w:rPr>
              <w:t>会计电算化</w:t>
            </w:r>
          </w:p>
        </w:tc>
        <w:tc>
          <w:tcPr>
            <w:tcW w:w="780" w:type="dxa"/>
            <w:shd w:val="clear" w:color="auto" w:fill="auto"/>
            <w:vAlign w:val="top"/>
          </w:tcPr>
          <w:p w14:paraId="69DC5DED">
            <w:pPr>
              <w:spacing w:before="56" w:line="219" w:lineRule="auto"/>
              <w:ind w:left="110" w:leftChars="0"/>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162</w:t>
            </w:r>
          </w:p>
        </w:tc>
        <w:tc>
          <w:tcPr>
            <w:tcW w:w="600" w:type="dxa"/>
            <w:shd w:val="clear" w:color="auto" w:fill="auto"/>
            <w:vAlign w:val="top"/>
          </w:tcPr>
          <w:p w14:paraId="689C4D69">
            <w:pPr>
              <w:spacing w:before="56" w:line="219" w:lineRule="auto"/>
              <w:ind w:left="107" w:leftChars="0"/>
              <w:rPr>
                <w:rFonts w:ascii="黑体" w:hAnsi="黑体" w:eastAsia="黑体" w:cs="黑体"/>
                <w:kern w:val="2"/>
                <w:sz w:val="21"/>
                <w:szCs w:val="21"/>
                <w:lang w:val="en-US" w:eastAsia="zh-CN" w:bidi="ar-SA"/>
              </w:rPr>
            </w:pPr>
            <w:r>
              <w:rPr>
                <w:rFonts w:ascii="黑体" w:hAnsi="黑体" w:eastAsia="黑体" w:cs="黑体"/>
                <w:sz w:val="21"/>
                <w:szCs w:val="21"/>
              </w:rPr>
              <w:t>4</w:t>
            </w:r>
          </w:p>
        </w:tc>
        <w:tc>
          <w:tcPr>
            <w:tcW w:w="641" w:type="dxa"/>
            <w:shd w:val="clear" w:color="auto" w:fill="auto"/>
            <w:vAlign w:val="top"/>
          </w:tcPr>
          <w:p w14:paraId="3DB73E57">
            <w:pPr>
              <w:rPr>
                <w:rFonts w:ascii="Arial" w:hAnsiTheme="minorHAnsi" w:eastAsiaTheme="minorEastAsia" w:cstheme="minorBidi"/>
                <w:kern w:val="2"/>
                <w:sz w:val="21"/>
                <w:szCs w:val="22"/>
                <w:lang w:val="en-US" w:eastAsia="zh-CN" w:bidi="ar-SA"/>
              </w:rPr>
            </w:pPr>
          </w:p>
        </w:tc>
        <w:tc>
          <w:tcPr>
            <w:tcW w:w="704" w:type="dxa"/>
            <w:shd w:val="clear" w:color="auto" w:fill="auto"/>
            <w:vAlign w:val="top"/>
          </w:tcPr>
          <w:p w14:paraId="13E31159">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08E7C196">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72EBFFCB">
            <w:pPr>
              <w:spacing w:before="56" w:line="220" w:lineRule="auto"/>
              <w:ind w:left="111" w:leftChars="0"/>
              <w:rPr>
                <w:rFonts w:hint="eastAsia" w:ascii="黑体" w:hAnsi="黑体" w:eastAsia="黑体" w:cs="黑体"/>
                <w:spacing w:val="-2"/>
                <w:sz w:val="21"/>
                <w:szCs w:val="21"/>
                <w:lang w:val="en-US" w:eastAsia="zh-CN"/>
              </w:rPr>
            </w:pPr>
          </w:p>
        </w:tc>
        <w:tc>
          <w:tcPr>
            <w:tcW w:w="842" w:type="dxa"/>
            <w:shd w:val="clear" w:color="auto" w:fill="auto"/>
            <w:vAlign w:val="top"/>
          </w:tcPr>
          <w:p w14:paraId="094CA6AF">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w:t>
            </w:r>
          </w:p>
        </w:tc>
        <w:tc>
          <w:tcPr>
            <w:tcW w:w="753" w:type="dxa"/>
            <w:vMerge w:val="continue"/>
            <w:vAlign w:val="center"/>
          </w:tcPr>
          <w:p w14:paraId="33714EBB">
            <w:pPr>
              <w:widowControl/>
              <w:jc w:val="center"/>
              <w:rPr>
                <w:rFonts w:ascii="黑体" w:hAnsi="黑体" w:eastAsia="黑体"/>
                <w:szCs w:val="21"/>
              </w:rPr>
            </w:pPr>
          </w:p>
        </w:tc>
      </w:tr>
      <w:tr w14:paraId="1B09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50070096">
            <w:pPr>
              <w:widowControl/>
              <w:jc w:val="center"/>
              <w:rPr>
                <w:rFonts w:ascii="黑体" w:hAnsi="黑体" w:eastAsia="黑体"/>
                <w:szCs w:val="21"/>
              </w:rPr>
            </w:pPr>
          </w:p>
        </w:tc>
        <w:tc>
          <w:tcPr>
            <w:tcW w:w="426" w:type="dxa"/>
            <w:vAlign w:val="center"/>
          </w:tcPr>
          <w:p w14:paraId="0292DBA9">
            <w:pPr>
              <w:widowControl/>
              <w:jc w:val="center"/>
              <w:rPr>
                <w:rFonts w:ascii="黑体" w:hAnsi="黑体" w:eastAsia="黑体"/>
                <w:szCs w:val="21"/>
              </w:rPr>
            </w:pPr>
            <w:r>
              <w:rPr>
                <w:rFonts w:hint="eastAsia" w:ascii="黑体" w:hAnsi="黑体" w:eastAsia="黑体"/>
                <w:szCs w:val="21"/>
              </w:rPr>
              <w:t>6</w:t>
            </w:r>
          </w:p>
        </w:tc>
        <w:tc>
          <w:tcPr>
            <w:tcW w:w="2044" w:type="dxa"/>
            <w:shd w:val="clear" w:color="auto" w:fill="auto"/>
            <w:vAlign w:val="top"/>
          </w:tcPr>
          <w:p w14:paraId="7DC2AA80">
            <w:pPr>
              <w:spacing w:before="57" w:line="219" w:lineRule="auto"/>
              <w:ind w:left="490" w:leftChars="0"/>
              <w:rPr>
                <w:rFonts w:ascii="黑体" w:hAnsi="黑体" w:eastAsia="黑体" w:cs="黑体"/>
                <w:kern w:val="2"/>
                <w:sz w:val="21"/>
                <w:szCs w:val="21"/>
                <w:lang w:val="en-US" w:eastAsia="zh-CN" w:bidi="ar-SA"/>
              </w:rPr>
            </w:pPr>
            <w:r>
              <w:rPr>
                <w:rFonts w:ascii="黑体" w:hAnsi="黑体" w:eastAsia="黑体" w:cs="黑体"/>
                <w:spacing w:val="-2"/>
                <w:sz w:val="21"/>
                <w:szCs w:val="21"/>
              </w:rPr>
              <w:t>财经法规</w:t>
            </w:r>
          </w:p>
        </w:tc>
        <w:tc>
          <w:tcPr>
            <w:tcW w:w="780" w:type="dxa"/>
            <w:shd w:val="clear" w:color="auto" w:fill="auto"/>
            <w:vAlign w:val="top"/>
          </w:tcPr>
          <w:p w14:paraId="306B9853">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72</w:t>
            </w:r>
          </w:p>
        </w:tc>
        <w:tc>
          <w:tcPr>
            <w:tcW w:w="600" w:type="dxa"/>
            <w:shd w:val="clear" w:color="auto" w:fill="auto"/>
            <w:vAlign w:val="top"/>
          </w:tcPr>
          <w:p w14:paraId="62F8312D">
            <w:pPr>
              <w:spacing w:before="56" w:line="220" w:lineRule="auto"/>
              <w:ind w:left="111" w:leftChars="0"/>
              <w:rPr>
                <w:rFonts w:hint="eastAsia" w:ascii="黑体" w:hAnsi="黑体" w:eastAsia="黑体" w:cs="黑体"/>
                <w:spacing w:val="-2"/>
                <w:sz w:val="21"/>
                <w:szCs w:val="21"/>
                <w:lang w:val="en-US" w:eastAsia="zh-CN"/>
              </w:rPr>
            </w:pPr>
          </w:p>
        </w:tc>
        <w:tc>
          <w:tcPr>
            <w:tcW w:w="641" w:type="dxa"/>
            <w:shd w:val="clear" w:color="auto" w:fill="auto"/>
            <w:vAlign w:val="top"/>
          </w:tcPr>
          <w:p w14:paraId="0F9D1533">
            <w:pPr>
              <w:spacing w:before="56" w:line="220" w:lineRule="auto"/>
              <w:ind w:left="111" w:leftChars="0"/>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4</w:t>
            </w:r>
          </w:p>
        </w:tc>
        <w:tc>
          <w:tcPr>
            <w:tcW w:w="704" w:type="dxa"/>
            <w:shd w:val="clear" w:color="auto" w:fill="auto"/>
            <w:vAlign w:val="top"/>
          </w:tcPr>
          <w:p w14:paraId="7B908DA3">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7BA6FD68">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6008CD5E">
            <w:pPr>
              <w:spacing w:before="56" w:line="220" w:lineRule="auto"/>
              <w:ind w:left="111" w:leftChars="0"/>
              <w:rPr>
                <w:rFonts w:hint="eastAsia" w:ascii="黑体" w:hAnsi="黑体" w:eastAsia="黑体" w:cs="黑体"/>
                <w:spacing w:val="-2"/>
                <w:sz w:val="21"/>
                <w:szCs w:val="21"/>
                <w:lang w:val="en-US" w:eastAsia="zh-CN"/>
              </w:rPr>
            </w:pPr>
          </w:p>
        </w:tc>
        <w:tc>
          <w:tcPr>
            <w:tcW w:w="842" w:type="dxa"/>
            <w:shd w:val="clear" w:color="auto" w:fill="auto"/>
            <w:vAlign w:val="top"/>
          </w:tcPr>
          <w:p w14:paraId="2E6A7DC1">
            <w:pPr>
              <w:spacing w:before="56" w:line="220" w:lineRule="auto"/>
              <w:ind w:left="111" w:leftChars="0"/>
              <w:rPr>
                <w:rFonts w:hint="eastAsia" w:ascii="黑体" w:hAnsi="黑体" w:eastAsia="黑体" w:cs="黑体"/>
                <w:spacing w:val="-2"/>
                <w:sz w:val="21"/>
                <w:szCs w:val="21"/>
                <w:lang w:val="en-US" w:eastAsia="zh-CN"/>
              </w:rPr>
            </w:pPr>
          </w:p>
        </w:tc>
        <w:tc>
          <w:tcPr>
            <w:tcW w:w="753" w:type="dxa"/>
            <w:vMerge w:val="continue"/>
            <w:vAlign w:val="center"/>
          </w:tcPr>
          <w:p w14:paraId="7D2BB6EB">
            <w:pPr>
              <w:widowControl/>
              <w:jc w:val="center"/>
              <w:rPr>
                <w:rFonts w:ascii="黑体" w:hAnsi="黑体" w:eastAsia="黑体"/>
                <w:szCs w:val="21"/>
              </w:rPr>
            </w:pPr>
          </w:p>
        </w:tc>
      </w:tr>
      <w:tr w14:paraId="0C6C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08483BFB">
            <w:pPr>
              <w:widowControl/>
              <w:jc w:val="center"/>
              <w:rPr>
                <w:rFonts w:ascii="黑体" w:hAnsi="黑体" w:eastAsia="黑体"/>
                <w:szCs w:val="21"/>
              </w:rPr>
            </w:pPr>
          </w:p>
        </w:tc>
        <w:tc>
          <w:tcPr>
            <w:tcW w:w="426" w:type="dxa"/>
            <w:vAlign w:val="center"/>
          </w:tcPr>
          <w:p w14:paraId="12C0F154">
            <w:pPr>
              <w:widowControl/>
              <w:jc w:val="center"/>
              <w:rPr>
                <w:rFonts w:ascii="黑体" w:hAnsi="黑体" w:eastAsia="黑体"/>
                <w:szCs w:val="21"/>
              </w:rPr>
            </w:pPr>
            <w:r>
              <w:rPr>
                <w:rFonts w:hint="eastAsia" w:ascii="黑体" w:hAnsi="黑体" w:eastAsia="黑体"/>
                <w:szCs w:val="21"/>
              </w:rPr>
              <w:t>7</w:t>
            </w:r>
          </w:p>
        </w:tc>
        <w:tc>
          <w:tcPr>
            <w:tcW w:w="2044" w:type="dxa"/>
            <w:shd w:val="clear" w:color="auto" w:fill="auto"/>
            <w:vAlign w:val="top"/>
          </w:tcPr>
          <w:p w14:paraId="55EB0A5F">
            <w:pPr>
              <w:spacing w:before="57" w:line="219" w:lineRule="auto"/>
              <w:ind w:left="278" w:leftChars="0"/>
              <w:rPr>
                <w:rFonts w:ascii="黑体" w:hAnsi="黑体" w:eastAsia="黑体" w:cs="黑体"/>
                <w:kern w:val="2"/>
                <w:sz w:val="21"/>
                <w:szCs w:val="21"/>
                <w:lang w:val="en-US" w:eastAsia="zh-CN" w:bidi="ar-SA"/>
              </w:rPr>
            </w:pPr>
            <w:r>
              <w:rPr>
                <w:rFonts w:ascii="黑体" w:hAnsi="黑体" w:eastAsia="黑体" w:cs="黑体"/>
                <w:spacing w:val="-1"/>
                <w:sz w:val="21"/>
                <w:szCs w:val="21"/>
              </w:rPr>
              <w:t>基础会计实训</w:t>
            </w:r>
          </w:p>
        </w:tc>
        <w:tc>
          <w:tcPr>
            <w:tcW w:w="780" w:type="dxa"/>
            <w:shd w:val="clear" w:color="auto" w:fill="auto"/>
            <w:vAlign w:val="top"/>
          </w:tcPr>
          <w:p w14:paraId="502542F4">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144</w:t>
            </w:r>
          </w:p>
        </w:tc>
        <w:tc>
          <w:tcPr>
            <w:tcW w:w="600" w:type="dxa"/>
            <w:shd w:val="clear" w:color="auto" w:fill="auto"/>
            <w:vAlign w:val="top"/>
          </w:tcPr>
          <w:p w14:paraId="5BDD4481">
            <w:pPr>
              <w:spacing w:before="56" w:line="220" w:lineRule="auto"/>
              <w:ind w:left="111" w:leftChars="0"/>
              <w:rPr>
                <w:rFonts w:hint="eastAsia" w:ascii="黑体" w:hAnsi="黑体" w:eastAsia="黑体" w:cs="黑体"/>
                <w:spacing w:val="-2"/>
                <w:sz w:val="21"/>
                <w:szCs w:val="21"/>
                <w:lang w:val="en-US" w:eastAsia="zh-CN"/>
              </w:rPr>
            </w:pPr>
          </w:p>
        </w:tc>
        <w:tc>
          <w:tcPr>
            <w:tcW w:w="641" w:type="dxa"/>
            <w:shd w:val="clear" w:color="auto" w:fill="auto"/>
            <w:vAlign w:val="top"/>
          </w:tcPr>
          <w:p w14:paraId="420BDCAB">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3</w:t>
            </w:r>
          </w:p>
        </w:tc>
        <w:tc>
          <w:tcPr>
            <w:tcW w:w="704" w:type="dxa"/>
            <w:shd w:val="clear" w:color="auto" w:fill="auto"/>
            <w:vAlign w:val="top"/>
          </w:tcPr>
          <w:p w14:paraId="061D524C">
            <w:pPr>
              <w:spacing w:before="56" w:line="220" w:lineRule="auto"/>
              <w:ind w:left="111" w:leftChars="0"/>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w:t>
            </w:r>
          </w:p>
        </w:tc>
        <w:tc>
          <w:tcPr>
            <w:tcW w:w="704" w:type="dxa"/>
            <w:shd w:val="clear" w:color="auto" w:fill="auto"/>
            <w:vAlign w:val="top"/>
          </w:tcPr>
          <w:p w14:paraId="438CD885">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367CCAE7">
            <w:pPr>
              <w:spacing w:before="56" w:line="220" w:lineRule="auto"/>
              <w:ind w:left="111" w:leftChars="0"/>
              <w:rPr>
                <w:rFonts w:hint="eastAsia" w:ascii="黑体" w:hAnsi="黑体" w:eastAsia="黑体" w:cs="黑体"/>
                <w:spacing w:val="-2"/>
                <w:sz w:val="21"/>
                <w:szCs w:val="21"/>
                <w:lang w:val="en-US" w:eastAsia="zh-CN"/>
              </w:rPr>
            </w:pPr>
          </w:p>
        </w:tc>
        <w:tc>
          <w:tcPr>
            <w:tcW w:w="842" w:type="dxa"/>
            <w:shd w:val="clear" w:color="auto" w:fill="auto"/>
            <w:vAlign w:val="top"/>
          </w:tcPr>
          <w:p w14:paraId="75537F05">
            <w:pPr>
              <w:spacing w:before="56" w:line="220" w:lineRule="auto"/>
              <w:ind w:left="111" w:leftChars="0"/>
              <w:rPr>
                <w:rFonts w:hint="eastAsia" w:ascii="黑体" w:hAnsi="黑体" w:eastAsia="黑体" w:cs="黑体"/>
                <w:spacing w:val="-2"/>
                <w:sz w:val="21"/>
                <w:szCs w:val="21"/>
                <w:lang w:val="en-US" w:eastAsia="zh-CN"/>
              </w:rPr>
            </w:pPr>
          </w:p>
        </w:tc>
        <w:tc>
          <w:tcPr>
            <w:tcW w:w="753" w:type="dxa"/>
            <w:vMerge w:val="continue"/>
            <w:vAlign w:val="center"/>
          </w:tcPr>
          <w:p w14:paraId="2FB354B5">
            <w:pPr>
              <w:widowControl/>
              <w:jc w:val="center"/>
              <w:rPr>
                <w:rFonts w:ascii="黑体" w:hAnsi="黑体" w:eastAsia="黑体"/>
                <w:szCs w:val="21"/>
              </w:rPr>
            </w:pPr>
          </w:p>
        </w:tc>
      </w:tr>
      <w:tr w14:paraId="1646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1EB41FDC">
            <w:pPr>
              <w:widowControl/>
              <w:jc w:val="center"/>
              <w:rPr>
                <w:rFonts w:ascii="黑体" w:hAnsi="黑体" w:eastAsia="黑体"/>
                <w:szCs w:val="21"/>
              </w:rPr>
            </w:pPr>
          </w:p>
        </w:tc>
        <w:tc>
          <w:tcPr>
            <w:tcW w:w="426" w:type="dxa"/>
            <w:vAlign w:val="center"/>
          </w:tcPr>
          <w:p w14:paraId="77F35EB2">
            <w:pPr>
              <w:widowControl/>
              <w:jc w:val="center"/>
              <w:rPr>
                <w:rFonts w:ascii="黑体" w:hAnsi="黑体" w:eastAsia="黑体"/>
                <w:szCs w:val="21"/>
              </w:rPr>
            </w:pPr>
            <w:r>
              <w:rPr>
                <w:rFonts w:hint="eastAsia" w:ascii="黑体" w:hAnsi="黑体" w:eastAsia="黑体"/>
                <w:szCs w:val="21"/>
              </w:rPr>
              <w:t>8</w:t>
            </w:r>
          </w:p>
        </w:tc>
        <w:tc>
          <w:tcPr>
            <w:tcW w:w="2044" w:type="dxa"/>
            <w:shd w:val="clear" w:color="auto" w:fill="auto"/>
            <w:vAlign w:val="top"/>
          </w:tcPr>
          <w:p w14:paraId="065D625F">
            <w:pPr>
              <w:spacing w:before="59" w:line="219" w:lineRule="auto"/>
              <w:ind w:left="488" w:leftChars="0"/>
              <w:rPr>
                <w:rFonts w:ascii="黑体" w:hAnsi="黑体" w:eastAsia="黑体" w:cs="黑体"/>
                <w:kern w:val="2"/>
                <w:sz w:val="21"/>
                <w:szCs w:val="21"/>
                <w:lang w:val="en-US" w:eastAsia="zh-CN" w:bidi="ar-SA"/>
              </w:rPr>
            </w:pPr>
            <w:r>
              <w:rPr>
                <w:rFonts w:ascii="黑体" w:hAnsi="黑体" w:eastAsia="黑体" w:cs="黑体"/>
                <w:spacing w:val="-1"/>
                <w:sz w:val="21"/>
                <w:szCs w:val="21"/>
              </w:rPr>
              <w:t>税收基础</w:t>
            </w:r>
          </w:p>
        </w:tc>
        <w:tc>
          <w:tcPr>
            <w:tcW w:w="780" w:type="dxa"/>
            <w:shd w:val="clear" w:color="auto" w:fill="auto"/>
            <w:vAlign w:val="top"/>
          </w:tcPr>
          <w:p w14:paraId="5EBF9ACF">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90</w:t>
            </w:r>
          </w:p>
        </w:tc>
        <w:tc>
          <w:tcPr>
            <w:tcW w:w="600" w:type="dxa"/>
            <w:shd w:val="clear" w:color="auto" w:fill="auto"/>
            <w:vAlign w:val="top"/>
          </w:tcPr>
          <w:p w14:paraId="4D7702A2">
            <w:pPr>
              <w:spacing w:before="56" w:line="220" w:lineRule="auto"/>
              <w:ind w:left="111" w:leftChars="0"/>
              <w:rPr>
                <w:rFonts w:hint="eastAsia" w:ascii="黑体" w:hAnsi="黑体" w:eastAsia="黑体" w:cs="黑体"/>
                <w:spacing w:val="-2"/>
                <w:sz w:val="21"/>
                <w:szCs w:val="21"/>
                <w:lang w:val="en-US" w:eastAsia="zh-CN"/>
              </w:rPr>
            </w:pPr>
          </w:p>
        </w:tc>
        <w:tc>
          <w:tcPr>
            <w:tcW w:w="641" w:type="dxa"/>
            <w:shd w:val="clear" w:color="auto" w:fill="auto"/>
            <w:vAlign w:val="top"/>
          </w:tcPr>
          <w:p w14:paraId="0E5A4782">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289330B5">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0AC21D27">
            <w:pPr>
              <w:spacing w:before="56" w:line="220" w:lineRule="auto"/>
              <w:ind w:left="111" w:leftChars="0"/>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w:t>
            </w:r>
          </w:p>
        </w:tc>
        <w:tc>
          <w:tcPr>
            <w:tcW w:w="704" w:type="dxa"/>
            <w:shd w:val="clear" w:color="auto" w:fill="auto"/>
            <w:vAlign w:val="top"/>
          </w:tcPr>
          <w:p w14:paraId="4C621CFE">
            <w:pPr>
              <w:spacing w:before="56" w:line="220" w:lineRule="auto"/>
              <w:ind w:left="111" w:leftChars="0"/>
              <w:rPr>
                <w:rFonts w:hint="eastAsia" w:ascii="黑体" w:hAnsi="黑体" w:eastAsia="黑体" w:cs="黑体"/>
                <w:spacing w:val="-2"/>
                <w:sz w:val="21"/>
                <w:szCs w:val="21"/>
                <w:lang w:val="en-US" w:eastAsia="zh-CN"/>
              </w:rPr>
            </w:pPr>
          </w:p>
        </w:tc>
        <w:tc>
          <w:tcPr>
            <w:tcW w:w="842" w:type="dxa"/>
            <w:shd w:val="clear" w:color="auto" w:fill="auto"/>
            <w:vAlign w:val="top"/>
          </w:tcPr>
          <w:p w14:paraId="0F61284B">
            <w:pPr>
              <w:spacing w:before="56" w:line="220" w:lineRule="auto"/>
              <w:ind w:left="111" w:leftChars="0"/>
              <w:rPr>
                <w:rFonts w:hint="eastAsia" w:ascii="黑体" w:hAnsi="黑体" w:eastAsia="黑体" w:cs="黑体"/>
                <w:spacing w:val="-2"/>
                <w:sz w:val="21"/>
                <w:szCs w:val="21"/>
                <w:lang w:val="en-US" w:eastAsia="zh-CN"/>
              </w:rPr>
            </w:pPr>
          </w:p>
        </w:tc>
        <w:tc>
          <w:tcPr>
            <w:tcW w:w="753" w:type="dxa"/>
            <w:vMerge w:val="continue"/>
            <w:vAlign w:val="center"/>
          </w:tcPr>
          <w:p w14:paraId="61BEF40D">
            <w:pPr>
              <w:widowControl/>
              <w:jc w:val="center"/>
              <w:rPr>
                <w:rFonts w:ascii="黑体" w:hAnsi="黑体" w:eastAsia="黑体"/>
                <w:szCs w:val="21"/>
              </w:rPr>
            </w:pPr>
          </w:p>
        </w:tc>
      </w:tr>
      <w:tr w14:paraId="38CD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7EEF1551">
            <w:pPr>
              <w:widowControl/>
              <w:jc w:val="center"/>
              <w:rPr>
                <w:rFonts w:ascii="黑体" w:hAnsi="黑体" w:eastAsia="黑体"/>
                <w:szCs w:val="21"/>
              </w:rPr>
            </w:pPr>
          </w:p>
        </w:tc>
        <w:tc>
          <w:tcPr>
            <w:tcW w:w="426" w:type="dxa"/>
            <w:vAlign w:val="center"/>
          </w:tcPr>
          <w:p w14:paraId="0167B1D0">
            <w:pPr>
              <w:widowControl/>
              <w:jc w:val="center"/>
              <w:rPr>
                <w:rFonts w:ascii="黑体" w:hAnsi="黑体" w:eastAsia="黑体"/>
                <w:szCs w:val="21"/>
              </w:rPr>
            </w:pPr>
            <w:r>
              <w:rPr>
                <w:rFonts w:hint="eastAsia" w:ascii="黑体" w:hAnsi="黑体" w:eastAsia="黑体"/>
                <w:szCs w:val="21"/>
              </w:rPr>
              <w:t>9</w:t>
            </w:r>
          </w:p>
        </w:tc>
        <w:tc>
          <w:tcPr>
            <w:tcW w:w="2044" w:type="dxa"/>
            <w:shd w:val="clear" w:color="auto" w:fill="auto"/>
            <w:vAlign w:val="top"/>
          </w:tcPr>
          <w:p w14:paraId="46B8998E">
            <w:pPr>
              <w:spacing w:before="56" w:line="219" w:lineRule="auto"/>
              <w:ind w:left="276" w:leftChars="0"/>
              <w:rPr>
                <w:rFonts w:ascii="黑体" w:hAnsi="黑体" w:eastAsia="黑体" w:cs="黑体"/>
                <w:kern w:val="2"/>
                <w:sz w:val="21"/>
                <w:szCs w:val="21"/>
                <w:lang w:val="en-US" w:eastAsia="zh-CN" w:bidi="ar-SA"/>
              </w:rPr>
            </w:pPr>
            <w:r>
              <w:rPr>
                <w:rFonts w:ascii="黑体" w:hAnsi="黑体" w:eastAsia="黑体" w:cs="黑体"/>
                <w:spacing w:val="-1"/>
                <w:sz w:val="21"/>
                <w:szCs w:val="21"/>
              </w:rPr>
              <w:t>会计基本技能</w:t>
            </w:r>
          </w:p>
        </w:tc>
        <w:tc>
          <w:tcPr>
            <w:tcW w:w="780" w:type="dxa"/>
            <w:shd w:val="clear" w:color="auto" w:fill="auto"/>
            <w:vAlign w:val="top"/>
          </w:tcPr>
          <w:p w14:paraId="69F7199E">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54</w:t>
            </w:r>
          </w:p>
        </w:tc>
        <w:tc>
          <w:tcPr>
            <w:tcW w:w="600" w:type="dxa"/>
            <w:shd w:val="clear" w:color="auto" w:fill="auto"/>
            <w:vAlign w:val="top"/>
          </w:tcPr>
          <w:p w14:paraId="209CBEC0">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3</w:t>
            </w:r>
          </w:p>
        </w:tc>
        <w:tc>
          <w:tcPr>
            <w:tcW w:w="641" w:type="dxa"/>
            <w:shd w:val="clear" w:color="auto" w:fill="auto"/>
            <w:vAlign w:val="top"/>
          </w:tcPr>
          <w:p w14:paraId="24EB82BD">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02E7768F">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3C7BC84C">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126E8F4C">
            <w:pPr>
              <w:spacing w:before="56" w:line="220" w:lineRule="auto"/>
              <w:ind w:left="111" w:leftChars="0"/>
              <w:rPr>
                <w:rFonts w:hint="eastAsia" w:ascii="黑体" w:hAnsi="黑体" w:eastAsia="黑体" w:cs="黑体"/>
                <w:spacing w:val="-2"/>
                <w:sz w:val="21"/>
                <w:szCs w:val="21"/>
                <w:lang w:val="en-US" w:eastAsia="zh-CN"/>
              </w:rPr>
            </w:pPr>
          </w:p>
        </w:tc>
        <w:tc>
          <w:tcPr>
            <w:tcW w:w="842" w:type="dxa"/>
            <w:shd w:val="clear" w:color="auto" w:fill="auto"/>
            <w:vAlign w:val="top"/>
          </w:tcPr>
          <w:p w14:paraId="7823C671">
            <w:pPr>
              <w:spacing w:before="56" w:line="220" w:lineRule="auto"/>
              <w:ind w:left="111" w:leftChars="0"/>
              <w:rPr>
                <w:rFonts w:hint="eastAsia" w:ascii="黑体" w:hAnsi="黑体" w:eastAsia="黑体" w:cs="黑体"/>
                <w:spacing w:val="-2"/>
                <w:sz w:val="21"/>
                <w:szCs w:val="21"/>
                <w:lang w:val="en-US" w:eastAsia="zh-CN"/>
              </w:rPr>
            </w:pPr>
          </w:p>
        </w:tc>
        <w:tc>
          <w:tcPr>
            <w:tcW w:w="753" w:type="dxa"/>
            <w:vMerge w:val="continue"/>
            <w:vAlign w:val="center"/>
          </w:tcPr>
          <w:p w14:paraId="47330393">
            <w:pPr>
              <w:widowControl/>
              <w:jc w:val="center"/>
              <w:rPr>
                <w:rFonts w:ascii="黑体" w:hAnsi="黑体" w:eastAsia="黑体"/>
                <w:szCs w:val="21"/>
              </w:rPr>
            </w:pPr>
          </w:p>
        </w:tc>
      </w:tr>
      <w:tr w14:paraId="4695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3AD77690">
            <w:pPr>
              <w:widowControl/>
              <w:jc w:val="center"/>
              <w:rPr>
                <w:rFonts w:ascii="黑体" w:hAnsi="黑体" w:eastAsia="黑体"/>
                <w:szCs w:val="21"/>
              </w:rPr>
            </w:pPr>
          </w:p>
        </w:tc>
        <w:tc>
          <w:tcPr>
            <w:tcW w:w="426" w:type="dxa"/>
            <w:vAlign w:val="center"/>
          </w:tcPr>
          <w:p w14:paraId="383E7550">
            <w:pPr>
              <w:widowControl/>
              <w:jc w:val="center"/>
              <w:rPr>
                <w:rFonts w:ascii="黑体" w:hAnsi="黑体" w:eastAsia="黑体"/>
                <w:szCs w:val="21"/>
              </w:rPr>
            </w:pPr>
            <w:r>
              <w:rPr>
                <w:rFonts w:hint="eastAsia" w:ascii="黑体" w:hAnsi="黑体" w:eastAsia="黑体"/>
                <w:szCs w:val="21"/>
              </w:rPr>
              <w:t>10</w:t>
            </w:r>
          </w:p>
        </w:tc>
        <w:tc>
          <w:tcPr>
            <w:tcW w:w="2044" w:type="dxa"/>
            <w:shd w:val="clear" w:color="auto" w:fill="auto"/>
            <w:vAlign w:val="top"/>
          </w:tcPr>
          <w:p w14:paraId="41BC737F">
            <w:pPr>
              <w:spacing w:before="58" w:line="218" w:lineRule="auto"/>
              <w:ind w:left="108" w:leftChars="0"/>
              <w:rPr>
                <w:rFonts w:ascii="黑体" w:hAnsi="黑体" w:eastAsia="黑体" w:cs="黑体"/>
                <w:kern w:val="2"/>
                <w:sz w:val="21"/>
                <w:szCs w:val="21"/>
                <w:lang w:val="en-US" w:eastAsia="zh-CN" w:bidi="ar-SA"/>
              </w:rPr>
            </w:pPr>
            <w:r>
              <w:rPr>
                <w:rFonts w:ascii="黑体" w:hAnsi="黑体" w:eastAsia="黑体" w:cs="黑体"/>
                <w:spacing w:val="-1"/>
                <w:sz w:val="21"/>
                <w:szCs w:val="21"/>
              </w:rPr>
              <w:t>综合实训</w:t>
            </w:r>
          </w:p>
        </w:tc>
        <w:tc>
          <w:tcPr>
            <w:tcW w:w="780" w:type="dxa"/>
            <w:shd w:val="clear" w:color="auto" w:fill="auto"/>
            <w:vAlign w:val="top"/>
          </w:tcPr>
          <w:p w14:paraId="681C1709">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198</w:t>
            </w:r>
          </w:p>
        </w:tc>
        <w:tc>
          <w:tcPr>
            <w:tcW w:w="600" w:type="dxa"/>
            <w:shd w:val="clear" w:color="auto" w:fill="auto"/>
            <w:vAlign w:val="top"/>
          </w:tcPr>
          <w:p w14:paraId="4DC3EBFA">
            <w:pPr>
              <w:spacing w:before="56" w:line="220" w:lineRule="auto"/>
              <w:ind w:left="111" w:leftChars="0"/>
              <w:rPr>
                <w:rFonts w:hint="eastAsia" w:ascii="黑体" w:hAnsi="黑体" w:eastAsia="黑体" w:cs="黑体"/>
                <w:spacing w:val="-2"/>
                <w:sz w:val="21"/>
                <w:szCs w:val="21"/>
                <w:lang w:val="en-US" w:eastAsia="zh-CN"/>
              </w:rPr>
            </w:pPr>
          </w:p>
        </w:tc>
        <w:tc>
          <w:tcPr>
            <w:tcW w:w="641" w:type="dxa"/>
            <w:shd w:val="clear" w:color="auto" w:fill="auto"/>
            <w:vAlign w:val="top"/>
          </w:tcPr>
          <w:p w14:paraId="47BF8DAF">
            <w:pPr>
              <w:spacing w:before="56" w:line="220" w:lineRule="auto"/>
              <w:ind w:left="111" w:leftChars="0"/>
              <w:rPr>
                <w:rFonts w:hint="eastAsia" w:ascii="黑体" w:hAnsi="黑体" w:eastAsia="黑体" w:cs="黑体"/>
                <w:spacing w:val="-2"/>
                <w:sz w:val="21"/>
                <w:szCs w:val="21"/>
                <w:lang w:val="en-US" w:eastAsia="zh-CN"/>
              </w:rPr>
            </w:pPr>
          </w:p>
        </w:tc>
        <w:tc>
          <w:tcPr>
            <w:tcW w:w="704" w:type="dxa"/>
            <w:shd w:val="clear" w:color="auto" w:fill="auto"/>
            <w:vAlign w:val="top"/>
          </w:tcPr>
          <w:p w14:paraId="36A0E7AA">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3</w:t>
            </w:r>
          </w:p>
        </w:tc>
        <w:tc>
          <w:tcPr>
            <w:tcW w:w="704" w:type="dxa"/>
            <w:shd w:val="clear" w:color="auto" w:fill="auto"/>
            <w:vAlign w:val="top"/>
          </w:tcPr>
          <w:p w14:paraId="78C0B41B">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3</w:t>
            </w:r>
          </w:p>
        </w:tc>
        <w:tc>
          <w:tcPr>
            <w:tcW w:w="704" w:type="dxa"/>
            <w:shd w:val="clear" w:color="auto" w:fill="auto"/>
            <w:vAlign w:val="top"/>
          </w:tcPr>
          <w:p w14:paraId="4FC86F5B">
            <w:pPr>
              <w:spacing w:before="56" w:line="220" w:lineRule="auto"/>
              <w:ind w:left="111" w:leftChars="0"/>
              <w:rPr>
                <w:rFonts w:hint="eastAsia" w:ascii="黑体" w:hAnsi="黑体" w:eastAsia="黑体" w:cs="黑体"/>
                <w:spacing w:val="-2"/>
                <w:sz w:val="21"/>
                <w:szCs w:val="21"/>
                <w:lang w:val="en-US" w:eastAsia="zh-CN"/>
              </w:rPr>
            </w:pPr>
          </w:p>
        </w:tc>
        <w:tc>
          <w:tcPr>
            <w:tcW w:w="842" w:type="dxa"/>
            <w:shd w:val="clear" w:color="auto" w:fill="auto"/>
            <w:vAlign w:val="top"/>
          </w:tcPr>
          <w:p w14:paraId="594E812D">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5</w:t>
            </w:r>
          </w:p>
        </w:tc>
        <w:tc>
          <w:tcPr>
            <w:tcW w:w="753" w:type="dxa"/>
            <w:vMerge w:val="continue"/>
            <w:vAlign w:val="center"/>
          </w:tcPr>
          <w:p w14:paraId="42B26A6A">
            <w:pPr>
              <w:widowControl/>
              <w:jc w:val="center"/>
              <w:rPr>
                <w:rFonts w:ascii="黑体" w:hAnsi="黑体" w:eastAsia="黑体"/>
                <w:szCs w:val="21"/>
              </w:rPr>
            </w:pPr>
          </w:p>
        </w:tc>
      </w:tr>
      <w:tr w14:paraId="0ACD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7D30DD6F">
            <w:pPr>
              <w:widowControl/>
              <w:jc w:val="center"/>
              <w:rPr>
                <w:rFonts w:ascii="黑体" w:hAnsi="黑体" w:eastAsia="黑体"/>
                <w:szCs w:val="21"/>
              </w:rPr>
            </w:pPr>
          </w:p>
        </w:tc>
        <w:tc>
          <w:tcPr>
            <w:tcW w:w="426" w:type="dxa"/>
            <w:vAlign w:val="center"/>
          </w:tcPr>
          <w:p w14:paraId="5609E2B6">
            <w:pPr>
              <w:widowControl/>
              <w:jc w:val="center"/>
              <w:rPr>
                <w:rFonts w:ascii="黑体" w:hAnsi="黑体" w:eastAsia="黑体"/>
                <w:szCs w:val="21"/>
              </w:rPr>
            </w:pPr>
            <w:r>
              <w:rPr>
                <w:rFonts w:hint="eastAsia" w:ascii="黑体" w:hAnsi="黑体" w:eastAsia="黑体"/>
                <w:szCs w:val="21"/>
              </w:rPr>
              <w:t>11</w:t>
            </w:r>
          </w:p>
        </w:tc>
        <w:tc>
          <w:tcPr>
            <w:tcW w:w="2044" w:type="dxa"/>
            <w:shd w:val="clear" w:color="auto" w:fill="auto"/>
            <w:vAlign w:val="top"/>
          </w:tcPr>
          <w:p w14:paraId="238E66DD">
            <w:pPr>
              <w:spacing w:before="57" w:line="219" w:lineRule="auto"/>
              <w:ind w:left="502" w:leftChars="0"/>
              <w:rPr>
                <w:rFonts w:ascii="黑体" w:hAnsi="黑体" w:eastAsia="黑体" w:cs="黑体"/>
                <w:kern w:val="2"/>
                <w:sz w:val="21"/>
                <w:szCs w:val="21"/>
                <w:lang w:val="en-US" w:eastAsia="zh-CN" w:bidi="ar-SA"/>
              </w:rPr>
            </w:pPr>
          </w:p>
        </w:tc>
        <w:tc>
          <w:tcPr>
            <w:tcW w:w="780" w:type="dxa"/>
            <w:shd w:val="clear" w:color="auto" w:fill="auto"/>
            <w:vAlign w:val="top"/>
          </w:tcPr>
          <w:p w14:paraId="5B7820C9">
            <w:pPr>
              <w:rPr>
                <w:rFonts w:ascii="Arial" w:hAnsiTheme="minorHAnsi" w:eastAsiaTheme="minorEastAsia" w:cstheme="minorBidi"/>
                <w:kern w:val="2"/>
                <w:sz w:val="21"/>
                <w:szCs w:val="22"/>
                <w:lang w:val="en-US" w:eastAsia="zh-CN" w:bidi="ar-SA"/>
              </w:rPr>
            </w:pPr>
          </w:p>
        </w:tc>
        <w:tc>
          <w:tcPr>
            <w:tcW w:w="600" w:type="dxa"/>
            <w:shd w:val="clear" w:color="auto" w:fill="auto"/>
            <w:vAlign w:val="top"/>
          </w:tcPr>
          <w:p w14:paraId="3D3D5F11">
            <w:pPr>
              <w:rPr>
                <w:rFonts w:ascii="Arial" w:hAnsiTheme="minorHAnsi" w:eastAsiaTheme="minorEastAsia" w:cstheme="minorBidi"/>
                <w:kern w:val="2"/>
                <w:sz w:val="21"/>
                <w:szCs w:val="22"/>
                <w:lang w:val="en-US" w:eastAsia="zh-CN" w:bidi="ar-SA"/>
              </w:rPr>
            </w:pPr>
          </w:p>
        </w:tc>
        <w:tc>
          <w:tcPr>
            <w:tcW w:w="641" w:type="dxa"/>
            <w:shd w:val="clear" w:color="auto" w:fill="auto"/>
            <w:vAlign w:val="top"/>
          </w:tcPr>
          <w:p w14:paraId="7CD6B697">
            <w:pPr>
              <w:rPr>
                <w:rFonts w:hint="default" w:ascii="Arial" w:hAnsiTheme="minorHAnsi" w:eastAsiaTheme="minorEastAsia" w:cstheme="minorBidi"/>
                <w:kern w:val="2"/>
                <w:sz w:val="21"/>
                <w:szCs w:val="22"/>
                <w:lang w:val="en-US" w:eastAsia="zh-CN" w:bidi="ar-SA"/>
              </w:rPr>
            </w:pPr>
          </w:p>
        </w:tc>
        <w:tc>
          <w:tcPr>
            <w:tcW w:w="704" w:type="dxa"/>
            <w:shd w:val="clear" w:color="auto" w:fill="auto"/>
            <w:vAlign w:val="top"/>
          </w:tcPr>
          <w:p w14:paraId="3847B46B">
            <w:pPr>
              <w:rPr>
                <w:rFonts w:ascii="Arial" w:hAnsiTheme="minorHAnsi" w:eastAsiaTheme="minorEastAsia" w:cstheme="minorBidi"/>
                <w:kern w:val="2"/>
                <w:sz w:val="21"/>
                <w:szCs w:val="22"/>
                <w:lang w:val="en-US" w:eastAsia="zh-CN" w:bidi="ar-SA"/>
              </w:rPr>
            </w:pPr>
          </w:p>
        </w:tc>
        <w:tc>
          <w:tcPr>
            <w:tcW w:w="704" w:type="dxa"/>
            <w:shd w:val="clear" w:color="auto" w:fill="auto"/>
            <w:vAlign w:val="top"/>
          </w:tcPr>
          <w:p w14:paraId="598F727C">
            <w:pPr>
              <w:rPr>
                <w:rFonts w:ascii="Arial" w:hAnsiTheme="minorHAnsi" w:eastAsiaTheme="minorEastAsia" w:cstheme="minorBidi"/>
                <w:kern w:val="2"/>
                <w:sz w:val="21"/>
                <w:szCs w:val="22"/>
                <w:lang w:val="en-US" w:eastAsia="zh-CN" w:bidi="ar-SA"/>
              </w:rPr>
            </w:pPr>
          </w:p>
        </w:tc>
        <w:tc>
          <w:tcPr>
            <w:tcW w:w="704" w:type="dxa"/>
            <w:shd w:val="clear" w:color="auto" w:fill="auto"/>
            <w:vAlign w:val="top"/>
          </w:tcPr>
          <w:p w14:paraId="20B6B227">
            <w:pPr>
              <w:spacing w:before="57" w:line="219" w:lineRule="auto"/>
              <w:ind w:left="109" w:leftChars="0"/>
              <w:rPr>
                <w:rFonts w:ascii="黑体" w:hAnsi="黑体" w:eastAsia="黑体" w:cs="黑体"/>
                <w:kern w:val="2"/>
                <w:sz w:val="21"/>
                <w:szCs w:val="21"/>
                <w:lang w:val="en-US" w:eastAsia="zh-CN" w:bidi="ar-SA"/>
              </w:rPr>
            </w:pPr>
          </w:p>
        </w:tc>
        <w:tc>
          <w:tcPr>
            <w:tcW w:w="842" w:type="dxa"/>
            <w:shd w:val="clear" w:color="auto" w:fill="auto"/>
            <w:vAlign w:val="top"/>
          </w:tcPr>
          <w:p w14:paraId="463ADB72">
            <w:pPr>
              <w:spacing w:before="57" w:line="219" w:lineRule="auto"/>
              <w:ind w:left="109" w:leftChars="0"/>
              <w:rPr>
                <w:rFonts w:ascii="黑体" w:hAnsi="黑体" w:eastAsia="黑体" w:cs="黑体"/>
                <w:kern w:val="2"/>
                <w:sz w:val="21"/>
                <w:szCs w:val="21"/>
                <w:lang w:val="en-US" w:eastAsia="zh-CN" w:bidi="ar-SA"/>
              </w:rPr>
            </w:pPr>
          </w:p>
        </w:tc>
        <w:tc>
          <w:tcPr>
            <w:tcW w:w="753" w:type="dxa"/>
            <w:vMerge w:val="continue"/>
            <w:vAlign w:val="center"/>
          </w:tcPr>
          <w:p w14:paraId="458ED8DC">
            <w:pPr>
              <w:widowControl/>
              <w:jc w:val="center"/>
              <w:rPr>
                <w:rFonts w:ascii="黑体" w:hAnsi="黑体" w:eastAsia="黑体"/>
                <w:szCs w:val="21"/>
              </w:rPr>
            </w:pPr>
          </w:p>
        </w:tc>
      </w:tr>
      <w:tr w14:paraId="1B91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17F82547">
            <w:pPr>
              <w:widowControl/>
              <w:jc w:val="center"/>
              <w:rPr>
                <w:rFonts w:ascii="黑体" w:hAnsi="黑体" w:eastAsia="黑体"/>
                <w:szCs w:val="21"/>
              </w:rPr>
            </w:pPr>
          </w:p>
        </w:tc>
        <w:tc>
          <w:tcPr>
            <w:tcW w:w="426" w:type="dxa"/>
            <w:vAlign w:val="center"/>
          </w:tcPr>
          <w:p w14:paraId="416E643A">
            <w:pPr>
              <w:widowControl/>
              <w:jc w:val="center"/>
              <w:rPr>
                <w:rFonts w:ascii="黑体" w:hAnsi="黑体" w:eastAsia="黑体"/>
                <w:szCs w:val="21"/>
              </w:rPr>
            </w:pPr>
            <w:r>
              <w:rPr>
                <w:rFonts w:hint="eastAsia" w:ascii="黑体" w:hAnsi="黑体" w:eastAsia="黑体"/>
                <w:szCs w:val="21"/>
              </w:rPr>
              <w:t>12</w:t>
            </w:r>
          </w:p>
        </w:tc>
        <w:tc>
          <w:tcPr>
            <w:tcW w:w="2044" w:type="dxa"/>
            <w:shd w:val="clear" w:color="auto" w:fill="auto"/>
            <w:vAlign w:val="top"/>
          </w:tcPr>
          <w:p w14:paraId="6C830BDA">
            <w:pPr>
              <w:pStyle w:val="15"/>
              <w:spacing w:before="58" w:line="218" w:lineRule="auto"/>
              <w:ind w:left="434" w:leftChars="0"/>
              <w:rPr>
                <w:rFonts w:ascii="宋体" w:hAnsi="宋体" w:eastAsia="宋体" w:cs="宋体"/>
                <w:kern w:val="2"/>
                <w:sz w:val="21"/>
                <w:szCs w:val="21"/>
                <w:lang w:val="en-US" w:eastAsia="en-US" w:bidi="ar-SA"/>
              </w:rPr>
            </w:pPr>
          </w:p>
        </w:tc>
        <w:tc>
          <w:tcPr>
            <w:tcW w:w="780" w:type="dxa"/>
            <w:shd w:val="clear" w:color="auto" w:fill="auto"/>
            <w:vAlign w:val="top"/>
          </w:tcPr>
          <w:p w14:paraId="5BE81165">
            <w:pPr>
              <w:rPr>
                <w:rFonts w:ascii="Arial" w:hAnsiTheme="minorHAnsi" w:eastAsiaTheme="minorEastAsia" w:cstheme="minorBidi"/>
                <w:kern w:val="2"/>
                <w:sz w:val="21"/>
                <w:szCs w:val="22"/>
                <w:lang w:val="en-US" w:eastAsia="zh-CN" w:bidi="ar-SA"/>
              </w:rPr>
            </w:pPr>
          </w:p>
        </w:tc>
        <w:tc>
          <w:tcPr>
            <w:tcW w:w="600" w:type="dxa"/>
            <w:shd w:val="clear" w:color="auto" w:fill="auto"/>
            <w:vAlign w:val="top"/>
          </w:tcPr>
          <w:p w14:paraId="0AC1E8AA">
            <w:pPr>
              <w:rPr>
                <w:rFonts w:ascii="Arial" w:hAnsiTheme="minorHAnsi" w:eastAsiaTheme="minorEastAsia" w:cstheme="minorBidi"/>
                <w:kern w:val="2"/>
                <w:sz w:val="21"/>
                <w:szCs w:val="22"/>
                <w:lang w:val="en-US" w:eastAsia="zh-CN" w:bidi="ar-SA"/>
              </w:rPr>
            </w:pPr>
          </w:p>
        </w:tc>
        <w:tc>
          <w:tcPr>
            <w:tcW w:w="641" w:type="dxa"/>
            <w:shd w:val="clear" w:color="auto" w:fill="auto"/>
            <w:vAlign w:val="top"/>
          </w:tcPr>
          <w:p w14:paraId="727BFCDC">
            <w:pPr>
              <w:rPr>
                <w:rFonts w:ascii="Arial" w:hAnsiTheme="minorHAnsi" w:eastAsiaTheme="minorEastAsia" w:cstheme="minorBidi"/>
                <w:kern w:val="2"/>
                <w:sz w:val="21"/>
                <w:szCs w:val="22"/>
                <w:lang w:val="en-US" w:eastAsia="zh-CN" w:bidi="ar-SA"/>
              </w:rPr>
            </w:pPr>
          </w:p>
        </w:tc>
        <w:tc>
          <w:tcPr>
            <w:tcW w:w="704" w:type="dxa"/>
            <w:shd w:val="clear" w:color="auto" w:fill="auto"/>
            <w:vAlign w:val="top"/>
          </w:tcPr>
          <w:p w14:paraId="12E5394E">
            <w:pPr>
              <w:rPr>
                <w:rFonts w:ascii="Arial" w:hAnsiTheme="minorHAnsi" w:eastAsiaTheme="minorEastAsia" w:cstheme="minorBidi"/>
                <w:kern w:val="2"/>
                <w:sz w:val="21"/>
                <w:szCs w:val="22"/>
                <w:lang w:val="en-US" w:eastAsia="zh-CN" w:bidi="ar-SA"/>
              </w:rPr>
            </w:pPr>
          </w:p>
        </w:tc>
        <w:tc>
          <w:tcPr>
            <w:tcW w:w="704" w:type="dxa"/>
            <w:shd w:val="clear" w:color="auto" w:fill="auto"/>
            <w:vAlign w:val="top"/>
          </w:tcPr>
          <w:p w14:paraId="057A74EE">
            <w:pPr>
              <w:rPr>
                <w:rFonts w:ascii="Arial" w:hAnsiTheme="minorHAnsi" w:eastAsiaTheme="minorEastAsia" w:cstheme="minorBidi"/>
                <w:kern w:val="2"/>
                <w:sz w:val="21"/>
                <w:szCs w:val="22"/>
                <w:lang w:val="en-US" w:eastAsia="zh-CN" w:bidi="ar-SA"/>
              </w:rPr>
            </w:pPr>
          </w:p>
        </w:tc>
        <w:tc>
          <w:tcPr>
            <w:tcW w:w="704" w:type="dxa"/>
            <w:shd w:val="clear" w:color="auto" w:fill="auto"/>
            <w:vAlign w:val="top"/>
          </w:tcPr>
          <w:p w14:paraId="68037835">
            <w:pPr>
              <w:spacing w:before="58" w:line="218" w:lineRule="auto"/>
              <w:ind w:left="112" w:leftChars="0"/>
              <w:rPr>
                <w:rFonts w:ascii="黑体" w:hAnsi="黑体" w:eastAsia="黑体" w:cs="黑体"/>
                <w:kern w:val="2"/>
                <w:sz w:val="21"/>
                <w:szCs w:val="21"/>
                <w:lang w:val="en-US" w:eastAsia="zh-CN" w:bidi="ar-SA"/>
              </w:rPr>
            </w:pPr>
          </w:p>
        </w:tc>
        <w:tc>
          <w:tcPr>
            <w:tcW w:w="842" w:type="dxa"/>
            <w:shd w:val="clear" w:color="auto" w:fill="auto"/>
            <w:vAlign w:val="top"/>
          </w:tcPr>
          <w:p w14:paraId="187CAE67">
            <w:pPr>
              <w:spacing w:before="58" w:line="218" w:lineRule="auto"/>
              <w:ind w:left="112" w:leftChars="0"/>
              <w:rPr>
                <w:rFonts w:ascii="黑体" w:hAnsi="黑体" w:eastAsia="黑体" w:cs="黑体"/>
                <w:kern w:val="2"/>
                <w:sz w:val="21"/>
                <w:szCs w:val="21"/>
                <w:lang w:val="en-US" w:eastAsia="zh-CN" w:bidi="ar-SA"/>
              </w:rPr>
            </w:pPr>
          </w:p>
        </w:tc>
        <w:tc>
          <w:tcPr>
            <w:tcW w:w="753" w:type="dxa"/>
            <w:vMerge w:val="continue"/>
            <w:vAlign w:val="center"/>
          </w:tcPr>
          <w:p w14:paraId="0A9D3E51">
            <w:pPr>
              <w:widowControl/>
              <w:jc w:val="center"/>
              <w:rPr>
                <w:rFonts w:ascii="黑体" w:hAnsi="黑体" w:eastAsia="黑体"/>
                <w:szCs w:val="21"/>
              </w:rPr>
            </w:pPr>
          </w:p>
        </w:tc>
      </w:tr>
      <w:tr w14:paraId="4C6C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7729DEC4">
            <w:pPr>
              <w:widowControl/>
              <w:jc w:val="center"/>
              <w:rPr>
                <w:rFonts w:ascii="黑体" w:hAnsi="黑体" w:eastAsia="黑体"/>
                <w:szCs w:val="21"/>
              </w:rPr>
            </w:pPr>
          </w:p>
        </w:tc>
        <w:tc>
          <w:tcPr>
            <w:tcW w:w="426" w:type="dxa"/>
            <w:vAlign w:val="center"/>
          </w:tcPr>
          <w:p w14:paraId="24F1EEC6">
            <w:pPr>
              <w:widowControl/>
              <w:jc w:val="center"/>
              <w:rPr>
                <w:rFonts w:ascii="黑体" w:hAnsi="黑体" w:eastAsia="黑体"/>
                <w:szCs w:val="21"/>
              </w:rPr>
            </w:pPr>
            <w:r>
              <w:rPr>
                <w:rFonts w:hint="eastAsia" w:ascii="黑体" w:hAnsi="黑体" w:eastAsia="黑体"/>
                <w:szCs w:val="21"/>
              </w:rPr>
              <w:t>13</w:t>
            </w:r>
          </w:p>
        </w:tc>
        <w:tc>
          <w:tcPr>
            <w:tcW w:w="2044" w:type="dxa"/>
            <w:shd w:val="clear" w:color="auto" w:fill="auto"/>
            <w:vAlign w:val="top"/>
          </w:tcPr>
          <w:p w14:paraId="520B03F7">
            <w:pPr>
              <w:spacing w:before="59" w:line="218" w:lineRule="auto"/>
              <w:ind w:left="921" w:leftChars="0"/>
              <w:rPr>
                <w:rFonts w:ascii="黑体" w:hAnsi="黑体" w:eastAsia="黑体" w:cs="黑体"/>
                <w:kern w:val="2"/>
                <w:sz w:val="21"/>
                <w:szCs w:val="21"/>
                <w:lang w:val="en-US" w:eastAsia="zh-CN" w:bidi="ar-SA"/>
              </w:rPr>
            </w:pPr>
            <w:r>
              <w:rPr>
                <w:rFonts w:ascii="黑体" w:hAnsi="黑体" w:eastAsia="黑体" w:cs="黑体"/>
                <w:spacing w:val="-4"/>
                <w:sz w:val="21"/>
                <w:szCs w:val="21"/>
              </w:rPr>
              <w:t>小计</w:t>
            </w:r>
          </w:p>
        </w:tc>
        <w:tc>
          <w:tcPr>
            <w:tcW w:w="780" w:type="dxa"/>
            <w:shd w:val="clear" w:color="auto" w:fill="auto"/>
            <w:vAlign w:val="top"/>
          </w:tcPr>
          <w:p w14:paraId="44D71EB2">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1872</w:t>
            </w:r>
          </w:p>
        </w:tc>
        <w:tc>
          <w:tcPr>
            <w:tcW w:w="600" w:type="dxa"/>
            <w:shd w:val="clear" w:color="auto" w:fill="auto"/>
            <w:vAlign w:val="top"/>
          </w:tcPr>
          <w:p w14:paraId="06D81DAA">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17</w:t>
            </w:r>
          </w:p>
        </w:tc>
        <w:tc>
          <w:tcPr>
            <w:tcW w:w="641" w:type="dxa"/>
            <w:shd w:val="clear" w:color="auto" w:fill="auto"/>
            <w:vAlign w:val="top"/>
          </w:tcPr>
          <w:p w14:paraId="495B9403">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17</w:t>
            </w:r>
          </w:p>
        </w:tc>
        <w:tc>
          <w:tcPr>
            <w:tcW w:w="704" w:type="dxa"/>
            <w:shd w:val="clear" w:color="auto" w:fill="auto"/>
            <w:vAlign w:val="top"/>
          </w:tcPr>
          <w:p w14:paraId="31026564">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20</w:t>
            </w:r>
          </w:p>
        </w:tc>
        <w:tc>
          <w:tcPr>
            <w:tcW w:w="704" w:type="dxa"/>
            <w:shd w:val="clear" w:color="auto" w:fill="auto"/>
            <w:vAlign w:val="top"/>
          </w:tcPr>
          <w:p w14:paraId="5072A7EE">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20</w:t>
            </w:r>
          </w:p>
        </w:tc>
        <w:tc>
          <w:tcPr>
            <w:tcW w:w="704" w:type="dxa"/>
            <w:shd w:val="clear" w:color="auto" w:fill="auto"/>
            <w:vAlign w:val="top"/>
          </w:tcPr>
          <w:p w14:paraId="062C9C30">
            <w:pPr>
              <w:spacing w:before="56" w:line="220" w:lineRule="auto"/>
              <w:ind w:left="111" w:leftChars="0"/>
              <w:rPr>
                <w:rFonts w:hint="eastAsia"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0</w:t>
            </w:r>
          </w:p>
        </w:tc>
        <w:tc>
          <w:tcPr>
            <w:tcW w:w="842" w:type="dxa"/>
            <w:shd w:val="clear" w:color="auto" w:fill="auto"/>
            <w:vAlign w:val="top"/>
          </w:tcPr>
          <w:p w14:paraId="19748FDB">
            <w:pPr>
              <w:spacing w:before="56" w:line="220" w:lineRule="auto"/>
              <w:ind w:left="111" w:leftChars="0"/>
              <w:rPr>
                <w:rFonts w:hint="default" w:ascii="黑体" w:hAnsi="黑体" w:eastAsia="黑体" w:cs="黑体"/>
                <w:spacing w:val="-2"/>
                <w:sz w:val="21"/>
                <w:szCs w:val="21"/>
                <w:lang w:val="en-US" w:eastAsia="zh-CN"/>
              </w:rPr>
            </w:pPr>
            <w:r>
              <w:rPr>
                <w:rFonts w:hint="eastAsia" w:ascii="黑体" w:hAnsi="黑体" w:eastAsia="黑体" w:cs="黑体"/>
                <w:spacing w:val="-2"/>
                <w:sz w:val="21"/>
                <w:szCs w:val="21"/>
                <w:lang w:val="en-US" w:eastAsia="zh-CN"/>
              </w:rPr>
              <w:t>30</w:t>
            </w:r>
          </w:p>
        </w:tc>
        <w:tc>
          <w:tcPr>
            <w:tcW w:w="753" w:type="dxa"/>
            <w:vMerge w:val="continue"/>
            <w:vAlign w:val="center"/>
          </w:tcPr>
          <w:p w14:paraId="50FC89C6">
            <w:pPr>
              <w:widowControl/>
              <w:jc w:val="center"/>
              <w:rPr>
                <w:rFonts w:ascii="黑体" w:hAnsi="黑体" w:eastAsia="黑体"/>
                <w:szCs w:val="21"/>
              </w:rPr>
            </w:pPr>
          </w:p>
        </w:tc>
      </w:tr>
      <w:tr w14:paraId="425A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vAlign w:val="center"/>
          </w:tcPr>
          <w:p w14:paraId="49FE290A">
            <w:pPr>
              <w:widowControl/>
              <w:jc w:val="center"/>
              <w:rPr>
                <w:rFonts w:ascii="黑体" w:hAnsi="黑体" w:eastAsia="黑体"/>
                <w:szCs w:val="21"/>
              </w:rPr>
            </w:pPr>
          </w:p>
        </w:tc>
        <w:tc>
          <w:tcPr>
            <w:tcW w:w="2470" w:type="dxa"/>
            <w:gridSpan w:val="2"/>
            <w:vAlign w:val="center"/>
          </w:tcPr>
          <w:p w14:paraId="7613A6FC">
            <w:pPr>
              <w:widowControl/>
              <w:jc w:val="center"/>
              <w:rPr>
                <w:rFonts w:ascii="黑体" w:hAnsi="黑体" w:eastAsia="黑体"/>
                <w:szCs w:val="21"/>
              </w:rPr>
            </w:pPr>
            <w:r>
              <w:rPr>
                <w:rFonts w:hint="eastAsia" w:ascii="黑体" w:hAnsi="黑体" w:eastAsia="黑体"/>
                <w:szCs w:val="21"/>
              </w:rPr>
              <w:t>小计</w:t>
            </w:r>
          </w:p>
        </w:tc>
        <w:tc>
          <w:tcPr>
            <w:tcW w:w="780" w:type="dxa"/>
            <w:vAlign w:val="center"/>
          </w:tcPr>
          <w:p w14:paraId="5E226516">
            <w:pPr>
              <w:widowControl/>
              <w:jc w:val="center"/>
              <w:rPr>
                <w:rFonts w:ascii="黑体" w:hAnsi="黑体" w:eastAsia="黑体"/>
                <w:szCs w:val="21"/>
              </w:rPr>
            </w:pPr>
          </w:p>
        </w:tc>
        <w:tc>
          <w:tcPr>
            <w:tcW w:w="600" w:type="dxa"/>
            <w:vAlign w:val="center"/>
          </w:tcPr>
          <w:p w14:paraId="5372FE60">
            <w:pPr>
              <w:widowControl/>
              <w:jc w:val="center"/>
              <w:rPr>
                <w:rFonts w:ascii="黑体" w:hAnsi="黑体" w:eastAsia="黑体"/>
                <w:szCs w:val="21"/>
              </w:rPr>
            </w:pPr>
          </w:p>
        </w:tc>
        <w:tc>
          <w:tcPr>
            <w:tcW w:w="641" w:type="dxa"/>
            <w:vAlign w:val="center"/>
          </w:tcPr>
          <w:p w14:paraId="7CD4DC72">
            <w:pPr>
              <w:widowControl/>
              <w:jc w:val="center"/>
              <w:rPr>
                <w:rFonts w:ascii="黑体" w:hAnsi="黑体" w:eastAsia="黑体"/>
                <w:szCs w:val="21"/>
              </w:rPr>
            </w:pPr>
          </w:p>
        </w:tc>
        <w:tc>
          <w:tcPr>
            <w:tcW w:w="704" w:type="dxa"/>
            <w:vAlign w:val="center"/>
          </w:tcPr>
          <w:p w14:paraId="30E7D558">
            <w:pPr>
              <w:widowControl/>
              <w:jc w:val="center"/>
              <w:rPr>
                <w:rFonts w:ascii="黑体" w:hAnsi="黑体" w:eastAsia="黑体"/>
                <w:szCs w:val="21"/>
              </w:rPr>
            </w:pPr>
          </w:p>
        </w:tc>
        <w:tc>
          <w:tcPr>
            <w:tcW w:w="704" w:type="dxa"/>
            <w:vAlign w:val="center"/>
          </w:tcPr>
          <w:p w14:paraId="04528313">
            <w:pPr>
              <w:widowControl/>
              <w:jc w:val="center"/>
              <w:rPr>
                <w:rFonts w:ascii="黑体" w:hAnsi="黑体" w:eastAsia="黑体"/>
                <w:szCs w:val="21"/>
              </w:rPr>
            </w:pPr>
          </w:p>
        </w:tc>
        <w:tc>
          <w:tcPr>
            <w:tcW w:w="704" w:type="dxa"/>
            <w:vAlign w:val="center"/>
          </w:tcPr>
          <w:p w14:paraId="34046064">
            <w:pPr>
              <w:widowControl/>
              <w:jc w:val="center"/>
              <w:rPr>
                <w:rFonts w:ascii="黑体" w:hAnsi="黑体" w:eastAsia="黑体"/>
                <w:szCs w:val="21"/>
              </w:rPr>
            </w:pPr>
          </w:p>
        </w:tc>
        <w:tc>
          <w:tcPr>
            <w:tcW w:w="842" w:type="dxa"/>
            <w:vAlign w:val="center"/>
          </w:tcPr>
          <w:p w14:paraId="3262B366">
            <w:pPr>
              <w:widowControl/>
              <w:jc w:val="center"/>
              <w:rPr>
                <w:rFonts w:ascii="黑体" w:hAnsi="黑体" w:eastAsia="黑体"/>
                <w:szCs w:val="21"/>
              </w:rPr>
            </w:pPr>
          </w:p>
        </w:tc>
        <w:tc>
          <w:tcPr>
            <w:tcW w:w="753" w:type="dxa"/>
            <w:vMerge w:val="continue"/>
            <w:vAlign w:val="center"/>
          </w:tcPr>
          <w:p w14:paraId="27972D5B">
            <w:pPr>
              <w:widowControl/>
              <w:jc w:val="center"/>
              <w:rPr>
                <w:rFonts w:ascii="黑体" w:hAnsi="黑体" w:eastAsia="黑体"/>
                <w:szCs w:val="21"/>
              </w:rPr>
            </w:pPr>
          </w:p>
        </w:tc>
      </w:tr>
      <w:tr w14:paraId="3CBA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gridSpan w:val="3"/>
            <w:vAlign w:val="center"/>
          </w:tcPr>
          <w:p w14:paraId="6B57CC12">
            <w:pPr>
              <w:widowControl/>
              <w:jc w:val="center"/>
              <w:rPr>
                <w:rFonts w:ascii="黑体" w:hAnsi="黑体" w:eastAsia="黑体"/>
                <w:szCs w:val="21"/>
              </w:rPr>
            </w:pPr>
            <w:r>
              <w:rPr>
                <w:rFonts w:hint="eastAsia" w:ascii="黑体" w:hAnsi="黑体" w:eastAsia="黑体"/>
                <w:szCs w:val="21"/>
                <w:lang w:eastAsia="zh-CN"/>
              </w:rPr>
              <w:t>岗位</w:t>
            </w:r>
            <w:r>
              <w:rPr>
                <w:rFonts w:ascii="黑体" w:hAnsi="黑体" w:eastAsia="黑体"/>
                <w:szCs w:val="21"/>
              </w:rPr>
              <w:t>实习</w:t>
            </w:r>
          </w:p>
        </w:tc>
        <w:tc>
          <w:tcPr>
            <w:tcW w:w="780" w:type="dxa"/>
            <w:vAlign w:val="center"/>
          </w:tcPr>
          <w:p w14:paraId="3B80D179">
            <w:pPr>
              <w:widowControl/>
              <w:jc w:val="center"/>
              <w:rPr>
                <w:rFonts w:ascii="黑体" w:hAnsi="黑体" w:eastAsia="黑体"/>
                <w:szCs w:val="21"/>
              </w:rPr>
            </w:pPr>
            <w:r>
              <w:rPr>
                <w:rFonts w:hint="eastAsia" w:ascii="黑体" w:hAnsi="黑体" w:eastAsia="黑体"/>
                <w:szCs w:val="21"/>
              </w:rPr>
              <w:t>630</w:t>
            </w:r>
          </w:p>
        </w:tc>
        <w:tc>
          <w:tcPr>
            <w:tcW w:w="600" w:type="dxa"/>
            <w:vAlign w:val="center"/>
          </w:tcPr>
          <w:p w14:paraId="2DD01CD1">
            <w:pPr>
              <w:widowControl/>
              <w:jc w:val="center"/>
              <w:rPr>
                <w:rFonts w:ascii="黑体" w:hAnsi="黑体" w:eastAsia="黑体"/>
                <w:szCs w:val="21"/>
              </w:rPr>
            </w:pPr>
          </w:p>
        </w:tc>
        <w:tc>
          <w:tcPr>
            <w:tcW w:w="641" w:type="dxa"/>
            <w:vAlign w:val="center"/>
          </w:tcPr>
          <w:p w14:paraId="1F3CEAEE">
            <w:pPr>
              <w:widowControl/>
              <w:jc w:val="center"/>
              <w:rPr>
                <w:rFonts w:ascii="黑体" w:hAnsi="黑体" w:eastAsia="黑体"/>
                <w:szCs w:val="21"/>
              </w:rPr>
            </w:pPr>
          </w:p>
        </w:tc>
        <w:tc>
          <w:tcPr>
            <w:tcW w:w="704" w:type="dxa"/>
            <w:vAlign w:val="center"/>
          </w:tcPr>
          <w:p w14:paraId="5818BA60">
            <w:pPr>
              <w:widowControl/>
              <w:jc w:val="center"/>
              <w:rPr>
                <w:rFonts w:ascii="黑体" w:hAnsi="黑体" w:eastAsia="黑体"/>
                <w:szCs w:val="21"/>
              </w:rPr>
            </w:pPr>
          </w:p>
        </w:tc>
        <w:tc>
          <w:tcPr>
            <w:tcW w:w="704" w:type="dxa"/>
            <w:vAlign w:val="center"/>
          </w:tcPr>
          <w:p w14:paraId="25160026">
            <w:pPr>
              <w:widowControl/>
              <w:jc w:val="center"/>
              <w:rPr>
                <w:rFonts w:ascii="黑体" w:hAnsi="黑体" w:eastAsia="黑体"/>
                <w:szCs w:val="21"/>
              </w:rPr>
            </w:pPr>
          </w:p>
        </w:tc>
        <w:tc>
          <w:tcPr>
            <w:tcW w:w="704" w:type="dxa"/>
            <w:vAlign w:val="center"/>
          </w:tcPr>
          <w:p w14:paraId="16A1AC32">
            <w:pPr>
              <w:widowControl/>
              <w:jc w:val="center"/>
              <w:rPr>
                <w:rFonts w:ascii="黑体" w:hAnsi="黑体" w:eastAsia="黑体"/>
                <w:szCs w:val="21"/>
              </w:rPr>
            </w:pPr>
            <w:r>
              <w:rPr>
                <w:rFonts w:hint="eastAsia" w:ascii="黑体" w:hAnsi="黑体" w:eastAsia="黑体"/>
                <w:szCs w:val="21"/>
              </w:rPr>
              <w:t>35</w:t>
            </w:r>
          </w:p>
        </w:tc>
        <w:tc>
          <w:tcPr>
            <w:tcW w:w="842" w:type="dxa"/>
            <w:vAlign w:val="center"/>
          </w:tcPr>
          <w:p w14:paraId="64C5BB31">
            <w:pPr>
              <w:widowControl/>
              <w:jc w:val="center"/>
              <w:rPr>
                <w:rFonts w:ascii="黑体" w:hAnsi="黑体" w:eastAsia="黑体"/>
                <w:szCs w:val="21"/>
              </w:rPr>
            </w:pPr>
          </w:p>
        </w:tc>
        <w:tc>
          <w:tcPr>
            <w:tcW w:w="753" w:type="dxa"/>
            <w:vAlign w:val="center"/>
          </w:tcPr>
          <w:p w14:paraId="41FFC27F">
            <w:pPr>
              <w:widowControl/>
              <w:jc w:val="center"/>
              <w:rPr>
                <w:rFonts w:ascii="黑体" w:hAnsi="黑体" w:eastAsia="黑体"/>
                <w:szCs w:val="21"/>
              </w:rPr>
            </w:pPr>
            <w:r>
              <w:rPr>
                <w:rFonts w:hint="eastAsia" w:ascii="黑体" w:hAnsi="黑体" w:eastAsia="黑体"/>
                <w:szCs w:val="21"/>
              </w:rPr>
              <w:t>20%</w:t>
            </w:r>
          </w:p>
        </w:tc>
      </w:tr>
      <w:tr w14:paraId="66D9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gridSpan w:val="3"/>
            <w:vAlign w:val="center"/>
          </w:tcPr>
          <w:p w14:paraId="055F494E">
            <w:pPr>
              <w:widowControl/>
              <w:jc w:val="center"/>
              <w:rPr>
                <w:rFonts w:ascii="黑体" w:hAnsi="黑体" w:eastAsia="黑体"/>
                <w:szCs w:val="21"/>
              </w:rPr>
            </w:pPr>
            <w:r>
              <w:rPr>
                <w:rFonts w:hint="eastAsia" w:ascii="黑体" w:hAnsi="黑体" w:eastAsia="黑体"/>
                <w:szCs w:val="21"/>
              </w:rPr>
              <w:t>合  计</w:t>
            </w:r>
          </w:p>
        </w:tc>
        <w:tc>
          <w:tcPr>
            <w:tcW w:w="780" w:type="dxa"/>
            <w:vAlign w:val="center"/>
          </w:tcPr>
          <w:p w14:paraId="058CCA16">
            <w:pPr>
              <w:widowControl/>
              <w:jc w:val="center"/>
              <w:rPr>
                <w:rFonts w:ascii="黑体" w:hAnsi="黑体" w:eastAsia="黑体"/>
                <w:szCs w:val="21"/>
              </w:rPr>
            </w:pPr>
            <w:r>
              <w:rPr>
                <w:rFonts w:hint="eastAsia" w:ascii="黑体" w:hAnsi="黑体" w:eastAsia="黑体"/>
                <w:szCs w:val="21"/>
              </w:rPr>
              <w:t>3780</w:t>
            </w:r>
          </w:p>
        </w:tc>
        <w:tc>
          <w:tcPr>
            <w:tcW w:w="600" w:type="dxa"/>
            <w:vAlign w:val="center"/>
          </w:tcPr>
          <w:p w14:paraId="0249C84D">
            <w:pPr>
              <w:widowControl/>
              <w:jc w:val="center"/>
              <w:rPr>
                <w:rFonts w:ascii="黑体" w:hAnsi="黑体" w:eastAsia="黑体"/>
                <w:szCs w:val="21"/>
              </w:rPr>
            </w:pPr>
            <w:r>
              <w:rPr>
                <w:rFonts w:hint="eastAsia" w:ascii="黑体" w:hAnsi="黑体" w:eastAsia="黑体"/>
                <w:szCs w:val="21"/>
              </w:rPr>
              <w:t>35</w:t>
            </w:r>
          </w:p>
        </w:tc>
        <w:tc>
          <w:tcPr>
            <w:tcW w:w="641" w:type="dxa"/>
            <w:vAlign w:val="center"/>
          </w:tcPr>
          <w:p w14:paraId="1891B300">
            <w:pPr>
              <w:widowControl/>
              <w:jc w:val="center"/>
              <w:rPr>
                <w:rFonts w:ascii="黑体" w:hAnsi="黑体" w:eastAsia="黑体"/>
                <w:szCs w:val="21"/>
              </w:rPr>
            </w:pPr>
            <w:r>
              <w:rPr>
                <w:rFonts w:hint="eastAsia" w:ascii="黑体" w:hAnsi="黑体" w:eastAsia="黑体"/>
                <w:szCs w:val="21"/>
              </w:rPr>
              <w:t>35</w:t>
            </w:r>
          </w:p>
        </w:tc>
        <w:tc>
          <w:tcPr>
            <w:tcW w:w="704" w:type="dxa"/>
            <w:vAlign w:val="center"/>
          </w:tcPr>
          <w:p w14:paraId="0EAF5E7E">
            <w:pPr>
              <w:widowControl/>
              <w:jc w:val="center"/>
              <w:rPr>
                <w:rFonts w:ascii="黑体" w:hAnsi="黑体" w:eastAsia="黑体"/>
                <w:szCs w:val="21"/>
              </w:rPr>
            </w:pPr>
            <w:r>
              <w:rPr>
                <w:rFonts w:hint="eastAsia" w:ascii="黑体" w:hAnsi="黑体" w:eastAsia="黑体"/>
                <w:szCs w:val="21"/>
              </w:rPr>
              <w:t>35</w:t>
            </w:r>
          </w:p>
        </w:tc>
        <w:tc>
          <w:tcPr>
            <w:tcW w:w="704" w:type="dxa"/>
            <w:vAlign w:val="center"/>
          </w:tcPr>
          <w:p w14:paraId="03209DB6">
            <w:pPr>
              <w:widowControl/>
              <w:jc w:val="center"/>
              <w:rPr>
                <w:rFonts w:ascii="黑体" w:hAnsi="黑体" w:eastAsia="黑体"/>
                <w:szCs w:val="21"/>
              </w:rPr>
            </w:pPr>
            <w:r>
              <w:rPr>
                <w:rFonts w:hint="eastAsia" w:ascii="黑体" w:hAnsi="黑体" w:eastAsia="黑体"/>
                <w:szCs w:val="21"/>
              </w:rPr>
              <w:t>35</w:t>
            </w:r>
          </w:p>
        </w:tc>
        <w:tc>
          <w:tcPr>
            <w:tcW w:w="704" w:type="dxa"/>
            <w:vAlign w:val="center"/>
          </w:tcPr>
          <w:p w14:paraId="5E5D6E79">
            <w:pPr>
              <w:widowControl/>
              <w:jc w:val="center"/>
              <w:rPr>
                <w:rFonts w:ascii="黑体" w:hAnsi="黑体" w:eastAsia="黑体"/>
                <w:szCs w:val="21"/>
              </w:rPr>
            </w:pPr>
            <w:r>
              <w:rPr>
                <w:rFonts w:hint="eastAsia" w:ascii="黑体" w:hAnsi="黑体" w:eastAsia="黑体"/>
                <w:szCs w:val="21"/>
              </w:rPr>
              <w:t>35</w:t>
            </w:r>
          </w:p>
        </w:tc>
        <w:tc>
          <w:tcPr>
            <w:tcW w:w="842" w:type="dxa"/>
            <w:vAlign w:val="center"/>
          </w:tcPr>
          <w:p w14:paraId="2B9B8E47">
            <w:pPr>
              <w:widowControl/>
              <w:jc w:val="center"/>
              <w:rPr>
                <w:rFonts w:ascii="黑体" w:hAnsi="黑体" w:eastAsia="黑体"/>
                <w:szCs w:val="21"/>
              </w:rPr>
            </w:pPr>
            <w:r>
              <w:rPr>
                <w:rFonts w:hint="eastAsia" w:ascii="黑体" w:hAnsi="黑体" w:eastAsia="黑体"/>
                <w:szCs w:val="21"/>
              </w:rPr>
              <w:t>35</w:t>
            </w:r>
          </w:p>
        </w:tc>
        <w:tc>
          <w:tcPr>
            <w:tcW w:w="753" w:type="dxa"/>
            <w:vAlign w:val="center"/>
          </w:tcPr>
          <w:p w14:paraId="642F5F82">
            <w:pPr>
              <w:widowControl/>
              <w:jc w:val="center"/>
              <w:rPr>
                <w:rFonts w:ascii="黑体" w:hAnsi="黑体" w:eastAsia="黑体"/>
                <w:szCs w:val="21"/>
              </w:rPr>
            </w:pPr>
          </w:p>
        </w:tc>
      </w:tr>
    </w:tbl>
    <w:p w14:paraId="03B63448">
      <w:pPr>
        <w:overflowPunct w:val="0"/>
        <w:spacing w:line="560" w:lineRule="exact"/>
        <w:ind w:firstLine="600" w:firstLineChars="200"/>
        <w:rPr>
          <w:rFonts w:ascii="黑体" w:hAnsi="黑体" w:eastAsia="黑体"/>
          <w:sz w:val="30"/>
          <w:szCs w:val="30"/>
        </w:rPr>
      </w:pPr>
      <w:r>
        <w:rPr>
          <w:rFonts w:ascii="黑体" w:hAnsi="黑体" w:eastAsia="黑体"/>
          <w:sz w:val="30"/>
          <w:szCs w:val="30"/>
        </w:rPr>
        <w:t>附件 2：</w:t>
      </w:r>
    </w:p>
    <w:p w14:paraId="625C2FD4">
      <w:pPr>
        <w:widowControl/>
        <w:spacing w:line="560" w:lineRule="exact"/>
        <w:jc w:val="center"/>
        <w:rPr>
          <w:rFonts w:ascii="仿宋" w:hAnsi="仿宋" w:eastAsia="仿宋" w:cs="宋体"/>
          <w:b/>
          <w:color w:val="000000"/>
          <w:kern w:val="0"/>
          <w:sz w:val="36"/>
          <w:szCs w:val="32"/>
        </w:rPr>
      </w:pPr>
      <w:r>
        <w:rPr>
          <w:rFonts w:ascii="仿宋" w:hAnsi="仿宋" w:eastAsia="仿宋" w:cs="宋体"/>
          <w:b/>
          <w:color w:val="000000"/>
          <w:kern w:val="0"/>
          <w:sz w:val="36"/>
          <w:szCs w:val="32"/>
        </w:rPr>
        <w:t>教学进程变更申请表</w:t>
      </w:r>
    </w:p>
    <w:p w14:paraId="28326521">
      <w:pPr>
        <w:widowControl/>
        <w:jc w:val="left"/>
        <w:rPr>
          <w:rFonts w:ascii="仿宋" w:hAnsi="仿宋" w:eastAsia="仿宋" w:cs="宋体"/>
          <w:kern w:val="0"/>
          <w:sz w:val="24"/>
          <w:szCs w:val="24"/>
        </w:rPr>
      </w:pPr>
      <w:r>
        <w:rPr>
          <w:rFonts w:ascii="仿宋" w:hAnsi="仿宋" w:eastAsia="仿宋" w:cs="宋体"/>
          <w:color w:val="000000"/>
          <w:kern w:val="0"/>
          <w:sz w:val="28"/>
          <w:szCs w:val="28"/>
        </w:rPr>
        <w:t>教学部：                          填报日期：     年  月</w:t>
      </w:r>
      <w:r>
        <w:rPr>
          <w:rFonts w:hint="eastAsia" w:ascii="仿宋" w:hAnsi="仿宋" w:eastAsia="仿宋" w:cs="宋体"/>
          <w:color w:val="000000"/>
          <w:kern w:val="0"/>
          <w:sz w:val="28"/>
          <w:szCs w:val="28"/>
        </w:rPr>
        <w:t xml:space="preserve"> </w:t>
      </w:r>
      <w:r>
        <w:rPr>
          <w:rFonts w:ascii="仿宋" w:hAnsi="仿宋" w:eastAsia="仿宋" w:cs="宋体"/>
          <w:color w:val="000000"/>
          <w:kern w:val="0"/>
          <w:sz w:val="28"/>
          <w:szCs w:val="28"/>
        </w:rPr>
        <w:t xml:space="preserve"> 日</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260"/>
        <w:gridCol w:w="2650"/>
        <w:gridCol w:w="1461"/>
      </w:tblGrid>
      <w:tr w14:paraId="2DBFE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4" w:hRule="atLeast"/>
        </w:trPr>
        <w:tc>
          <w:tcPr>
            <w:tcW w:w="1413" w:type="dxa"/>
            <w:tcBorders>
              <w:top w:val="single" w:color="auto" w:sz="4" w:space="0"/>
              <w:left w:val="single" w:color="auto" w:sz="4" w:space="0"/>
              <w:bottom w:val="single" w:color="auto" w:sz="4" w:space="0"/>
              <w:right w:val="single" w:color="auto" w:sz="4" w:space="0"/>
            </w:tcBorders>
            <w:vAlign w:val="center"/>
          </w:tcPr>
          <w:p w14:paraId="25F0D8A3">
            <w:pPr>
              <w:widowControl/>
              <w:spacing w:line="560" w:lineRule="exact"/>
              <w:jc w:val="center"/>
              <w:rPr>
                <w:rFonts w:ascii="仿宋" w:hAnsi="仿宋" w:eastAsia="仿宋" w:cs="宋体"/>
                <w:b/>
                <w:color w:val="000000"/>
                <w:kern w:val="0"/>
                <w:sz w:val="28"/>
                <w:szCs w:val="28"/>
              </w:rPr>
            </w:pPr>
            <w:r>
              <w:rPr>
                <w:rFonts w:ascii="仿宋" w:hAnsi="仿宋" w:eastAsia="仿宋" w:cs="宋体"/>
                <w:b/>
                <w:color w:val="000000"/>
                <w:kern w:val="0"/>
                <w:sz w:val="28"/>
                <w:szCs w:val="28"/>
              </w:rPr>
              <w:t>课程</w:t>
            </w:r>
          </w:p>
          <w:p w14:paraId="67A7EEBF">
            <w:pPr>
              <w:widowControl/>
              <w:spacing w:line="560" w:lineRule="exact"/>
              <w:jc w:val="center"/>
              <w:rPr>
                <w:rFonts w:ascii="仿宋" w:hAnsi="仿宋" w:eastAsia="仿宋" w:cs="宋体"/>
                <w:b/>
                <w:kern w:val="0"/>
                <w:sz w:val="28"/>
                <w:szCs w:val="28"/>
              </w:rPr>
            </w:pPr>
            <w:r>
              <w:rPr>
                <w:rFonts w:ascii="仿宋" w:hAnsi="仿宋" w:eastAsia="仿宋" w:cs="宋体"/>
                <w:b/>
                <w:color w:val="000000"/>
                <w:kern w:val="0"/>
                <w:sz w:val="28"/>
                <w:szCs w:val="28"/>
              </w:rPr>
              <w:t>名称</w:t>
            </w:r>
          </w:p>
        </w:tc>
        <w:tc>
          <w:tcPr>
            <w:tcW w:w="3260" w:type="dxa"/>
            <w:tcBorders>
              <w:top w:val="single" w:color="auto" w:sz="4" w:space="0"/>
              <w:left w:val="single" w:color="auto" w:sz="4" w:space="0"/>
              <w:bottom w:val="single" w:color="auto" w:sz="4" w:space="0"/>
              <w:right w:val="single" w:color="auto" w:sz="4" w:space="0"/>
            </w:tcBorders>
            <w:vAlign w:val="center"/>
          </w:tcPr>
          <w:p w14:paraId="6D725ADE">
            <w:pPr>
              <w:widowControl/>
              <w:jc w:val="center"/>
              <w:rPr>
                <w:rFonts w:ascii="仿宋" w:hAnsi="仿宋" w:eastAsia="仿宋" w:cs="宋体"/>
                <w:b/>
                <w:kern w:val="0"/>
                <w:sz w:val="28"/>
                <w:szCs w:val="28"/>
              </w:rPr>
            </w:pPr>
            <w:r>
              <w:rPr>
                <w:rFonts w:ascii="仿宋" w:hAnsi="仿宋" w:eastAsia="仿宋" w:cs="宋体"/>
                <w:b/>
                <w:color w:val="000000"/>
                <w:kern w:val="0"/>
                <w:sz w:val="28"/>
                <w:szCs w:val="28"/>
              </w:rPr>
              <w:t>年级</w:t>
            </w:r>
          </w:p>
        </w:tc>
        <w:tc>
          <w:tcPr>
            <w:tcW w:w="2650" w:type="dxa"/>
            <w:tcBorders>
              <w:top w:val="single" w:color="auto" w:sz="4" w:space="0"/>
              <w:left w:val="single" w:color="auto" w:sz="4" w:space="0"/>
              <w:bottom w:val="single" w:color="auto" w:sz="4" w:space="0"/>
              <w:right w:val="single" w:color="auto" w:sz="4" w:space="0"/>
            </w:tcBorders>
            <w:vAlign w:val="center"/>
          </w:tcPr>
          <w:p w14:paraId="40E6B9D5">
            <w:pPr>
              <w:widowControl/>
              <w:jc w:val="center"/>
              <w:rPr>
                <w:rFonts w:ascii="仿宋" w:hAnsi="仿宋" w:eastAsia="仿宋" w:cs="宋体"/>
                <w:b/>
                <w:kern w:val="0"/>
                <w:sz w:val="28"/>
                <w:szCs w:val="28"/>
              </w:rPr>
            </w:pPr>
            <w:r>
              <w:rPr>
                <w:rFonts w:ascii="仿宋" w:hAnsi="仿宋" w:eastAsia="仿宋" w:cs="宋体"/>
                <w:b/>
                <w:color w:val="000000"/>
                <w:kern w:val="0"/>
                <w:sz w:val="28"/>
                <w:szCs w:val="28"/>
              </w:rPr>
              <w:t>专业、 班级</w:t>
            </w:r>
          </w:p>
        </w:tc>
        <w:tc>
          <w:tcPr>
            <w:tcW w:w="1461" w:type="dxa"/>
            <w:tcBorders>
              <w:top w:val="single" w:color="auto" w:sz="4" w:space="0"/>
              <w:left w:val="single" w:color="auto" w:sz="4" w:space="0"/>
              <w:bottom w:val="single" w:color="auto" w:sz="4" w:space="0"/>
              <w:right w:val="single" w:color="auto" w:sz="4" w:space="0"/>
            </w:tcBorders>
            <w:vAlign w:val="center"/>
          </w:tcPr>
          <w:p w14:paraId="53E3C14F">
            <w:pPr>
              <w:widowControl/>
              <w:jc w:val="center"/>
              <w:rPr>
                <w:rFonts w:ascii="仿宋" w:hAnsi="仿宋" w:eastAsia="仿宋" w:cs="宋体"/>
                <w:b/>
                <w:kern w:val="0"/>
                <w:sz w:val="28"/>
                <w:szCs w:val="28"/>
              </w:rPr>
            </w:pPr>
            <w:r>
              <w:rPr>
                <w:rFonts w:ascii="仿宋" w:hAnsi="仿宋" w:eastAsia="仿宋" w:cs="宋体"/>
                <w:b/>
                <w:color w:val="000000"/>
                <w:kern w:val="0"/>
                <w:sz w:val="28"/>
                <w:szCs w:val="28"/>
              </w:rPr>
              <w:t>教学部</w:t>
            </w:r>
          </w:p>
        </w:tc>
      </w:tr>
      <w:tr w14:paraId="211CA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413" w:type="dxa"/>
            <w:vMerge w:val="restart"/>
            <w:tcBorders>
              <w:top w:val="single" w:color="auto" w:sz="4" w:space="0"/>
              <w:left w:val="single" w:color="auto" w:sz="4" w:space="0"/>
              <w:right w:val="single" w:color="auto" w:sz="4" w:space="0"/>
            </w:tcBorders>
            <w:vAlign w:val="center"/>
          </w:tcPr>
          <w:p w14:paraId="29F2CFEF">
            <w:pPr>
              <w:widowControl/>
              <w:jc w:val="center"/>
              <w:rPr>
                <w:rFonts w:ascii="仿宋" w:hAnsi="仿宋" w:eastAsia="仿宋" w:cs="宋体"/>
                <w:b/>
                <w:kern w:val="0"/>
                <w:sz w:val="24"/>
                <w:szCs w:val="24"/>
              </w:rPr>
            </w:pPr>
          </w:p>
        </w:tc>
        <w:tc>
          <w:tcPr>
            <w:tcW w:w="3260" w:type="dxa"/>
            <w:tcBorders>
              <w:top w:val="single" w:color="auto" w:sz="4" w:space="0"/>
              <w:left w:val="single" w:color="auto" w:sz="4" w:space="0"/>
              <w:bottom w:val="single" w:color="auto" w:sz="4" w:space="0"/>
              <w:right w:val="single" w:color="auto" w:sz="4" w:space="0"/>
            </w:tcBorders>
            <w:vAlign w:val="center"/>
          </w:tcPr>
          <w:p w14:paraId="45F7AB2B">
            <w:pPr>
              <w:widowControl/>
              <w:jc w:val="center"/>
              <w:rPr>
                <w:rFonts w:ascii="仿宋" w:hAnsi="仿宋" w:eastAsia="仿宋" w:cs="宋体"/>
                <w:kern w:val="0"/>
                <w:sz w:val="24"/>
                <w:szCs w:val="24"/>
              </w:rPr>
            </w:pPr>
          </w:p>
        </w:tc>
        <w:tc>
          <w:tcPr>
            <w:tcW w:w="2650" w:type="dxa"/>
            <w:vAlign w:val="center"/>
          </w:tcPr>
          <w:p w14:paraId="1C7BE7FB">
            <w:pPr>
              <w:widowControl/>
              <w:jc w:val="center"/>
              <w:rPr>
                <w:rFonts w:ascii="仿宋" w:hAnsi="仿宋" w:eastAsia="仿宋" w:cs="Times New Roman"/>
                <w:kern w:val="0"/>
                <w:sz w:val="20"/>
                <w:szCs w:val="20"/>
              </w:rPr>
            </w:pPr>
          </w:p>
        </w:tc>
        <w:tc>
          <w:tcPr>
            <w:tcW w:w="1461" w:type="dxa"/>
            <w:vAlign w:val="center"/>
          </w:tcPr>
          <w:p w14:paraId="053033A8">
            <w:pPr>
              <w:widowControl/>
              <w:jc w:val="center"/>
              <w:rPr>
                <w:rFonts w:ascii="仿宋" w:hAnsi="仿宋" w:eastAsia="仿宋" w:cs="Times New Roman"/>
                <w:kern w:val="0"/>
                <w:sz w:val="20"/>
                <w:szCs w:val="20"/>
              </w:rPr>
            </w:pPr>
          </w:p>
        </w:tc>
      </w:tr>
      <w:tr w14:paraId="2AD34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vMerge w:val="continue"/>
            <w:tcBorders>
              <w:left w:val="single" w:color="auto" w:sz="4" w:space="0"/>
              <w:right w:val="single" w:color="auto" w:sz="4" w:space="0"/>
            </w:tcBorders>
            <w:vAlign w:val="center"/>
          </w:tcPr>
          <w:p w14:paraId="5F0F6D70">
            <w:pPr>
              <w:widowControl/>
              <w:jc w:val="center"/>
              <w:rPr>
                <w:rFonts w:ascii="仿宋" w:hAnsi="仿宋" w:eastAsia="仿宋" w:cs="宋体"/>
                <w:b/>
                <w:color w:val="000000"/>
                <w:kern w:val="0"/>
                <w:sz w:val="24"/>
                <w:szCs w:val="28"/>
              </w:rPr>
            </w:pPr>
          </w:p>
        </w:tc>
        <w:tc>
          <w:tcPr>
            <w:tcW w:w="3260" w:type="dxa"/>
            <w:tcBorders>
              <w:top w:val="single" w:color="auto" w:sz="4" w:space="0"/>
              <w:left w:val="single" w:color="auto" w:sz="4" w:space="0"/>
              <w:bottom w:val="single" w:color="auto" w:sz="4" w:space="0"/>
              <w:right w:val="single" w:color="auto" w:sz="4" w:space="0"/>
            </w:tcBorders>
            <w:vAlign w:val="center"/>
          </w:tcPr>
          <w:p w14:paraId="6849F31E">
            <w:pPr>
              <w:widowControl/>
              <w:jc w:val="center"/>
              <w:rPr>
                <w:rFonts w:ascii="仿宋" w:hAnsi="仿宋" w:eastAsia="仿宋" w:cs="宋体"/>
                <w:color w:val="000000"/>
                <w:kern w:val="0"/>
                <w:sz w:val="28"/>
                <w:szCs w:val="28"/>
              </w:rPr>
            </w:pPr>
          </w:p>
        </w:tc>
        <w:tc>
          <w:tcPr>
            <w:tcW w:w="2650" w:type="dxa"/>
            <w:vAlign w:val="center"/>
          </w:tcPr>
          <w:p w14:paraId="20E8AF49">
            <w:pPr>
              <w:widowControl/>
              <w:jc w:val="center"/>
              <w:rPr>
                <w:rFonts w:ascii="仿宋" w:hAnsi="仿宋" w:eastAsia="仿宋" w:cs="Times New Roman"/>
                <w:kern w:val="0"/>
                <w:sz w:val="20"/>
                <w:szCs w:val="20"/>
              </w:rPr>
            </w:pPr>
          </w:p>
        </w:tc>
        <w:tc>
          <w:tcPr>
            <w:tcW w:w="1461" w:type="dxa"/>
            <w:vAlign w:val="center"/>
          </w:tcPr>
          <w:p w14:paraId="75198865">
            <w:pPr>
              <w:widowControl/>
              <w:jc w:val="center"/>
              <w:rPr>
                <w:rFonts w:ascii="仿宋" w:hAnsi="仿宋" w:eastAsia="仿宋" w:cs="Times New Roman"/>
                <w:kern w:val="0"/>
                <w:sz w:val="20"/>
                <w:szCs w:val="20"/>
              </w:rPr>
            </w:pPr>
          </w:p>
        </w:tc>
      </w:tr>
      <w:tr w14:paraId="76CA5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413" w:type="dxa"/>
            <w:vMerge w:val="continue"/>
            <w:tcBorders>
              <w:left w:val="single" w:color="auto" w:sz="4" w:space="0"/>
              <w:bottom w:val="single" w:color="auto" w:sz="4" w:space="0"/>
              <w:right w:val="single" w:color="auto" w:sz="4" w:space="0"/>
            </w:tcBorders>
            <w:vAlign w:val="center"/>
          </w:tcPr>
          <w:p w14:paraId="77704075">
            <w:pPr>
              <w:widowControl/>
              <w:jc w:val="center"/>
              <w:rPr>
                <w:rFonts w:ascii="仿宋" w:hAnsi="仿宋" w:eastAsia="仿宋" w:cs="宋体"/>
                <w:b/>
                <w:color w:val="000000"/>
                <w:kern w:val="0"/>
                <w:sz w:val="24"/>
                <w:szCs w:val="28"/>
              </w:rPr>
            </w:pPr>
          </w:p>
        </w:tc>
        <w:tc>
          <w:tcPr>
            <w:tcW w:w="3260" w:type="dxa"/>
            <w:tcBorders>
              <w:top w:val="single" w:color="auto" w:sz="4" w:space="0"/>
              <w:left w:val="single" w:color="auto" w:sz="4" w:space="0"/>
              <w:bottom w:val="single" w:color="auto" w:sz="4" w:space="0"/>
              <w:right w:val="single" w:color="auto" w:sz="4" w:space="0"/>
            </w:tcBorders>
            <w:vAlign w:val="center"/>
          </w:tcPr>
          <w:p w14:paraId="20A9BB4E">
            <w:pPr>
              <w:widowControl/>
              <w:jc w:val="center"/>
              <w:rPr>
                <w:rFonts w:ascii="仿宋" w:hAnsi="仿宋" w:eastAsia="仿宋" w:cs="宋体"/>
                <w:color w:val="000000"/>
                <w:kern w:val="0"/>
                <w:sz w:val="28"/>
                <w:szCs w:val="28"/>
              </w:rPr>
            </w:pPr>
          </w:p>
        </w:tc>
        <w:tc>
          <w:tcPr>
            <w:tcW w:w="2650" w:type="dxa"/>
            <w:vAlign w:val="center"/>
          </w:tcPr>
          <w:p w14:paraId="1CF9DA68">
            <w:pPr>
              <w:widowControl/>
              <w:jc w:val="center"/>
              <w:rPr>
                <w:rFonts w:ascii="仿宋" w:hAnsi="仿宋" w:eastAsia="仿宋" w:cs="Times New Roman"/>
                <w:kern w:val="0"/>
                <w:sz w:val="20"/>
                <w:szCs w:val="20"/>
              </w:rPr>
            </w:pPr>
          </w:p>
        </w:tc>
        <w:tc>
          <w:tcPr>
            <w:tcW w:w="1461" w:type="dxa"/>
            <w:vAlign w:val="center"/>
          </w:tcPr>
          <w:p w14:paraId="0F4DD040">
            <w:pPr>
              <w:widowControl/>
              <w:jc w:val="center"/>
              <w:rPr>
                <w:rFonts w:ascii="仿宋" w:hAnsi="仿宋" w:eastAsia="仿宋" w:cs="Times New Roman"/>
                <w:kern w:val="0"/>
                <w:sz w:val="20"/>
                <w:szCs w:val="20"/>
              </w:rPr>
            </w:pPr>
          </w:p>
        </w:tc>
      </w:tr>
      <w:tr w14:paraId="2B1A6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673" w:type="dxa"/>
            <w:gridSpan w:val="2"/>
            <w:tcBorders>
              <w:top w:val="single" w:color="auto" w:sz="4" w:space="0"/>
              <w:left w:val="single" w:color="auto" w:sz="4" w:space="0"/>
              <w:bottom w:val="single" w:color="auto" w:sz="4" w:space="0"/>
              <w:right w:val="single" w:color="auto" w:sz="4" w:space="0"/>
            </w:tcBorders>
            <w:vAlign w:val="center"/>
          </w:tcPr>
          <w:p w14:paraId="45F17016">
            <w:pPr>
              <w:widowControl/>
              <w:jc w:val="center"/>
              <w:rPr>
                <w:rFonts w:ascii="仿宋" w:hAnsi="仿宋" w:eastAsia="仿宋" w:cs="宋体"/>
                <w:b/>
                <w:kern w:val="0"/>
                <w:sz w:val="28"/>
                <w:szCs w:val="28"/>
              </w:rPr>
            </w:pPr>
            <w:r>
              <w:rPr>
                <w:rFonts w:ascii="仿宋" w:hAnsi="仿宋" w:eastAsia="仿宋" w:cs="宋体"/>
                <w:b/>
                <w:color w:val="000000"/>
                <w:kern w:val="0"/>
                <w:sz w:val="28"/>
                <w:szCs w:val="28"/>
              </w:rPr>
              <w:t>原计划内容、 进程</w:t>
            </w:r>
          </w:p>
        </w:tc>
        <w:tc>
          <w:tcPr>
            <w:tcW w:w="4111" w:type="dxa"/>
            <w:gridSpan w:val="2"/>
            <w:vAlign w:val="center"/>
          </w:tcPr>
          <w:p w14:paraId="7D18232C">
            <w:pPr>
              <w:widowControl/>
              <w:jc w:val="center"/>
              <w:rPr>
                <w:rFonts w:ascii="仿宋" w:hAnsi="仿宋" w:eastAsia="仿宋" w:cs="Times New Roman"/>
                <w:b/>
                <w:kern w:val="0"/>
                <w:sz w:val="20"/>
                <w:szCs w:val="20"/>
              </w:rPr>
            </w:pPr>
            <w:r>
              <w:rPr>
                <w:rFonts w:ascii="仿宋" w:hAnsi="仿宋" w:eastAsia="仿宋" w:cs="宋体"/>
                <w:b/>
                <w:color w:val="000000"/>
                <w:kern w:val="0"/>
                <w:sz w:val="28"/>
                <w:szCs w:val="28"/>
              </w:rPr>
              <w:t>变动后的内容、 进程</w:t>
            </w:r>
          </w:p>
        </w:tc>
      </w:tr>
      <w:tr w14:paraId="3767D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3" w:hRule="atLeast"/>
        </w:trPr>
        <w:tc>
          <w:tcPr>
            <w:tcW w:w="4673" w:type="dxa"/>
            <w:gridSpan w:val="2"/>
            <w:tcBorders>
              <w:top w:val="single" w:color="auto" w:sz="4" w:space="0"/>
              <w:left w:val="single" w:color="auto" w:sz="4" w:space="0"/>
              <w:bottom w:val="single" w:color="auto" w:sz="4" w:space="0"/>
              <w:right w:val="single" w:color="auto" w:sz="4" w:space="0"/>
            </w:tcBorders>
            <w:vAlign w:val="center"/>
          </w:tcPr>
          <w:p w14:paraId="654FA568">
            <w:pPr>
              <w:widowControl/>
              <w:jc w:val="left"/>
              <w:rPr>
                <w:rFonts w:ascii="仿宋" w:hAnsi="仿宋" w:eastAsia="仿宋" w:cs="宋体"/>
                <w:b/>
                <w:color w:val="000000"/>
                <w:kern w:val="0"/>
                <w:sz w:val="28"/>
                <w:szCs w:val="28"/>
              </w:rPr>
            </w:pPr>
          </w:p>
        </w:tc>
        <w:tc>
          <w:tcPr>
            <w:tcW w:w="4111" w:type="dxa"/>
            <w:gridSpan w:val="2"/>
            <w:vAlign w:val="center"/>
          </w:tcPr>
          <w:p w14:paraId="3983A3CA">
            <w:pPr>
              <w:widowControl/>
              <w:jc w:val="left"/>
              <w:rPr>
                <w:rFonts w:ascii="仿宋" w:hAnsi="仿宋" w:eastAsia="仿宋" w:cs="Times New Roman"/>
                <w:kern w:val="0"/>
                <w:sz w:val="20"/>
                <w:szCs w:val="20"/>
              </w:rPr>
            </w:pPr>
          </w:p>
        </w:tc>
      </w:tr>
      <w:tr w14:paraId="48663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14:paraId="71DDA657">
            <w:pPr>
              <w:widowControl/>
              <w:jc w:val="center"/>
              <w:rPr>
                <w:rFonts w:ascii="仿宋" w:hAnsi="仿宋" w:eastAsia="仿宋" w:cs="宋体"/>
                <w:b/>
                <w:color w:val="000000"/>
                <w:kern w:val="0"/>
                <w:sz w:val="28"/>
                <w:szCs w:val="28"/>
              </w:rPr>
            </w:pPr>
            <w:r>
              <w:rPr>
                <w:rFonts w:ascii="仿宋" w:hAnsi="仿宋" w:eastAsia="仿宋" w:cs="宋体"/>
                <w:b/>
                <w:color w:val="000000"/>
                <w:kern w:val="0"/>
                <w:sz w:val="28"/>
                <w:szCs w:val="28"/>
              </w:rPr>
              <w:t>变 动</w:t>
            </w:r>
          </w:p>
          <w:p w14:paraId="7031BEC9">
            <w:pPr>
              <w:widowControl/>
              <w:jc w:val="center"/>
              <w:rPr>
                <w:rFonts w:ascii="仿宋" w:hAnsi="仿宋" w:eastAsia="仿宋" w:cs="宋体"/>
                <w:b/>
                <w:kern w:val="0"/>
                <w:sz w:val="28"/>
                <w:szCs w:val="28"/>
              </w:rPr>
            </w:pPr>
            <w:r>
              <w:rPr>
                <w:rFonts w:ascii="仿宋" w:hAnsi="仿宋" w:eastAsia="仿宋" w:cs="宋体"/>
                <w:b/>
                <w:color w:val="000000"/>
                <w:kern w:val="0"/>
                <w:sz w:val="28"/>
                <w:szCs w:val="28"/>
              </w:rPr>
              <w:t>理 由</w:t>
            </w:r>
          </w:p>
        </w:tc>
        <w:tc>
          <w:tcPr>
            <w:tcW w:w="7371" w:type="dxa"/>
            <w:gridSpan w:val="3"/>
            <w:tcBorders>
              <w:top w:val="single" w:color="auto" w:sz="4" w:space="0"/>
              <w:left w:val="single" w:color="auto" w:sz="4" w:space="0"/>
              <w:bottom w:val="single" w:color="auto" w:sz="4" w:space="0"/>
            </w:tcBorders>
            <w:vAlign w:val="center"/>
          </w:tcPr>
          <w:p w14:paraId="23E45716">
            <w:pPr>
              <w:widowControl/>
              <w:jc w:val="right"/>
              <w:rPr>
                <w:rFonts w:ascii="仿宋" w:hAnsi="仿宋" w:eastAsia="仿宋" w:cs="宋体"/>
                <w:color w:val="000000"/>
                <w:kern w:val="0"/>
                <w:sz w:val="28"/>
                <w:szCs w:val="28"/>
              </w:rPr>
            </w:pPr>
          </w:p>
          <w:p w14:paraId="3380AC03">
            <w:pPr>
              <w:widowControl/>
              <w:jc w:val="right"/>
              <w:rPr>
                <w:rFonts w:ascii="仿宋" w:hAnsi="仿宋" w:eastAsia="仿宋" w:cs="宋体"/>
                <w:color w:val="000000"/>
                <w:kern w:val="0"/>
                <w:sz w:val="28"/>
                <w:szCs w:val="28"/>
              </w:rPr>
            </w:pPr>
          </w:p>
          <w:p w14:paraId="22513936">
            <w:pPr>
              <w:widowControl/>
              <w:jc w:val="right"/>
              <w:rPr>
                <w:rFonts w:ascii="仿宋" w:hAnsi="仿宋" w:eastAsia="仿宋" w:cs="Times New Roman"/>
                <w:kern w:val="0"/>
                <w:sz w:val="20"/>
                <w:szCs w:val="20"/>
              </w:rPr>
            </w:pPr>
            <w:r>
              <w:rPr>
                <w:rFonts w:ascii="仿宋" w:hAnsi="仿宋" w:eastAsia="仿宋" w:cs="宋体"/>
                <w:color w:val="000000"/>
                <w:kern w:val="0"/>
                <w:sz w:val="28"/>
                <w:szCs w:val="28"/>
              </w:rPr>
              <w:t>教研室主任签字：   年  月   日</w:t>
            </w:r>
          </w:p>
        </w:tc>
      </w:tr>
      <w:tr w14:paraId="448D8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2" w:hRule="atLeast"/>
        </w:trPr>
        <w:tc>
          <w:tcPr>
            <w:tcW w:w="1413" w:type="dxa"/>
            <w:tcBorders>
              <w:top w:val="single" w:color="auto" w:sz="4" w:space="0"/>
              <w:left w:val="single" w:color="auto" w:sz="4" w:space="0"/>
              <w:bottom w:val="single" w:color="auto" w:sz="4" w:space="0"/>
              <w:right w:val="single" w:color="auto" w:sz="4" w:space="0"/>
            </w:tcBorders>
            <w:vAlign w:val="center"/>
          </w:tcPr>
          <w:p w14:paraId="25A87C9F">
            <w:pPr>
              <w:widowControl/>
              <w:jc w:val="center"/>
              <w:rPr>
                <w:rFonts w:ascii="仿宋" w:hAnsi="仿宋" w:eastAsia="仿宋" w:cs="宋体"/>
                <w:b/>
                <w:kern w:val="0"/>
                <w:sz w:val="28"/>
                <w:szCs w:val="28"/>
              </w:rPr>
            </w:pPr>
            <w:r>
              <w:rPr>
                <w:rFonts w:ascii="仿宋" w:hAnsi="仿宋" w:eastAsia="仿宋" w:cs="宋体"/>
                <w:b/>
                <w:color w:val="000000"/>
                <w:kern w:val="0"/>
                <w:sz w:val="28"/>
                <w:szCs w:val="28"/>
              </w:rPr>
              <w:t>教 学 部 意 见</w:t>
            </w:r>
          </w:p>
        </w:tc>
        <w:tc>
          <w:tcPr>
            <w:tcW w:w="7371" w:type="dxa"/>
            <w:gridSpan w:val="3"/>
            <w:tcBorders>
              <w:top w:val="single" w:color="auto" w:sz="4" w:space="0"/>
              <w:left w:val="single" w:color="auto" w:sz="4" w:space="0"/>
              <w:bottom w:val="single" w:color="auto" w:sz="4" w:space="0"/>
            </w:tcBorders>
            <w:vAlign w:val="center"/>
          </w:tcPr>
          <w:p w14:paraId="3005EA1C">
            <w:pPr>
              <w:widowControl/>
              <w:jc w:val="right"/>
              <w:rPr>
                <w:rFonts w:ascii="仿宋" w:hAnsi="仿宋" w:eastAsia="仿宋" w:cs="宋体"/>
                <w:color w:val="000000"/>
                <w:kern w:val="0"/>
                <w:sz w:val="28"/>
                <w:szCs w:val="28"/>
              </w:rPr>
            </w:pPr>
          </w:p>
          <w:p w14:paraId="5D2E2577">
            <w:pPr>
              <w:widowControl/>
              <w:jc w:val="right"/>
              <w:rPr>
                <w:rFonts w:ascii="仿宋" w:hAnsi="仿宋" w:eastAsia="仿宋" w:cs="宋体"/>
                <w:color w:val="000000"/>
                <w:kern w:val="0"/>
                <w:sz w:val="28"/>
                <w:szCs w:val="28"/>
              </w:rPr>
            </w:pPr>
          </w:p>
          <w:p w14:paraId="75F05436">
            <w:pPr>
              <w:widowControl/>
              <w:jc w:val="right"/>
              <w:rPr>
                <w:rFonts w:ascii="仿宋" w:hAnsi="仿宋" w:eastAsia="仿宋" w:cs="Times New Roman"/>
                <w:kern w:val="0"/>
                <w:sz w:val="20"/>
                <w:szCs w:val="20"/>
              </w:rPr>
            </w:pPr>
            <w:r>
              <w:rPr>
                <w:rFonts w:ascii="仿宋" w:hAnsi="仿宋" w:eastAsia="仿宋" w:cs="宋体"/>
                <w:color w:val="000000"/>
                <w:kern w:val="0"/>
                <w:sz w:val="28"/>
                <w:szCs w:val="28"/>
              </w:rPr>
              <w:t>负责人签字： （盖章）   年</w:t>
            </w:r>
            <w:r>
              <w:rPr>
                <w:rFonts w:hint="eastAsia" w:ascii="仿宋" w:hAnsi="仿宋" w:eastAsia="仿宋" w:cs="宋体"/>
                <w:color w:val="000000"/>
                <w:kern w:val="0"/>
                <w:sz w:val="28"/>
                <w:szCs w:val="28"/>
              </w:rPr>
              <w:t xml:space="preserve">  </w:t>
            </w:r>
            <w:r>
              <w:rPr>
                <w:rFonts w:ascii="仿宋" w:hAnsi="仿宋" w:eastAsia="仿宋" w:cs="宋体"/>
                <w:color w:val="000000"/>
                <w:kern w:val="0"/>
                <w:sz w:val="28"/>
                <w:szCs w:val="28"/>
              </w:rPr>
              <w:t xml:space="preserve"> 月</w:t>
            </w:r>
            <w:r>
              <w:rPr>
                <w:rFonts w:hint="eastAsia" w:ascii="仿宋" w:hAnsi="仿宋" w:eastAsia="仿宋" w:cs="宋体"/>
                <w:color w:val="000000"/>
                <w:kern w:val="0"/>
                <w:sz w:val="28"/>
                <w:szCs w:val="28"/>
              </w:rPr>
              <w:t xml:space="preserve">  </w:t>
            </w:r>
            <w:r>
              <w:rPr>
                <w:rFonts w:ascii="仿宋" w:hAnsi="仿宋" w:eastAsia="仿宋" w:cs="宋体"/>
                <w:color w:val="000000"/>
                <w:kern w:val="0"/>
                <w:sz w:val="28"/>
                <w:szCs w:val="28"/>
              </w:rPr>
              <w:t xml:space="preserve"> 日</w:t>
            </w:r>
          </w:p>
        </w:tc>
      </w:tr>
      <w:tr w14:paraId="1FF9B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8" w:hRule="atLeast"/>
        </w:trPr>
        <w:tc>
          <w:tcPr>
            <w:tcW w:w="1413" w:type="dxa"/>
            <w:tcBorders>
              <w:top w:val="single" w:color="auto" w:sz="4" w:space="0"/>
              <w:left w:val="single" w:color="auto" w:sz="4" w:space="0"/>
              <w:bottom w:val="single" w:color="auto" w:sz="4" w:space="0"/>
              <w:right w:val="single" w:color="auto" w:sz="4" w:space="0"/>
            </w:tcBorders>
            <w:vAlign w:val="center"/>
          </w:tcPr>
          <w:p w14:paraId="66818D7B">
            <w:pPr>
              <w:widowControl/>
              <w:jc w:val="center"/>
              <w:rPr>
                <w:rFonts w:ascii="仿宋" w:hAnsi="仿宋" w:eastAsia="仿宋" w:cs="宋体"/>
                <w:b/>
                <w:kern w:val="0"/>
                <w:sz w:val="28"/>
                <w:szCs w:val="28"/>
              </w:rPr>
            </w:pPr>
            <w:r>
              <w:rPr>
                <w:rFonts w:ascii="仿宋" w:hAnsi="仿宋" w:eastAsia="仿宋" w:cs="宋体"/>
                <w:b/>
                <w:color w:val="000000"/>
                <w:kern w:val="0"/>
                <w:sz w:val="28"/>
                <w:szCs w:val="28"/>
              </w:rPr>
              <w:t>教</w:t>
            </w:r>
            <w:r>
              <w:rPr>
                <w:rFonts w:hint="eastAsia" w:ascii="仿宋" w:hAnsi="仿宋" w:eastAsia="仿宋" w:cs="宋体"/>
                <w:b/>
                <w:color w:val="000000"/>
                <w:kern w:val="0"/>
                <w:sz w:val="28"/>
                <w:szCs w:val="28"/>
              </w:rPr>
              <w:t xml:space="preserve"> 务 </w:t>
            </w:r>
            <w:r>
              <w:rPr>
                <w:rFonts w:ascii="仿宋" w:hAnsi="仿宋" w:eastAsia="仿宋" w:cs="宋体"/>
                <w:b/>
                <w:color w:val="000000"/>
                <w:kern w:val="0"/>
                <w:sz w:val="28"/>
                <w:szCs w:val="28"/>
              </w:rPr>
              <w:t>处 意 见</w:t>
            </w:r>
          </w:p>
        </w:tc>
        <w:tc>
          <w:tcPr>
            <w:tcW w:w="7371" w:type="dxa"/>
            <w:gridSpan w:val="3"/>
            <w:tcBorders>
              <w:top w:val="single" w:color="auto" w:sz="4" w:space="0"/>
              <w:left w:val="single" w:color="auto" w:sz="4" w:space="0"/>
              <w:bottom w:val="single" w:color="auto" w:sz="4" w:space="0"/>
            </w:tcBorders>
            <w:vAlign w:val="center"/>
          </w:tcPr>
          <w:p w14:paraId="7BCAF34E">
            <w:pPr>
              <w:widowControl/>
              <w:jc w:val="right"/>
              <w:rPr>
                <w:rFonts w:ascii="仿宋" w:hAnsi="仿宋" w:eastAsia="仿宋" w:cs="宋体"/>
                <w:color w:val="000000"/>
                <w:kern w:val="0"/>
                <w:sz w:val="28"/>
                <w:szCs w:val="28"/>
              </w:rPr>
            </w:pPr>
          </w:p>
          <w:p w14:paraId="72145D4A">
            <w:pPr>
              <w:widowControl/>
              <w:ind w:right="280"/>
              <w:jc w:val="right"/>
              <w:rPr>
                <w:rFonts w:ascii="仿宋" w:hAnsi="仿宋" w:eastAsia="仿宋" w:cs="宋体"/>
                <w:color w:val="000000"/>
                <w:kern w:val="0"/>
                <w:sz w:val="28"/>
                <w:szCs w:val="28"/>
              </w:rPr>
            </w:pPr>
          </w:p>
          <w:p w14:paraId="4BBCBB98">
            <w:pPr>
              <w:widowControl/>
              <w:jc w:val="right"/>
              <w:rPr>
                <w:rFonts w:ascii="仿宋" w:hAnsi="仿宋" w:eastAsia="仿宋" w:cs="Times New Roman"/>
                <w:kern w:val="0"/>
                <w:sz w:val="20"/>
                <w:szCs w:val="20"/>
              </w:rPr>
            </w:pPr>
            <w:r>
              <w:rPr>
                <w:rFonts w:ascii="仿宋" w:hAnsi="仿宋" w:eastAsia="仿宋" w:cs="宋体"/>
                <w:color w:val="000000"/>
                <w:kern w:val="0"/>
                <w:sz w:val="28"/>
                <w:szCs w:val="28"/>
              </w:rPr>
              <w:t>负责人签字（盖章）：   年   月   日</w:t>
            </w:r>
          </w:p>
        </w:tc>
      </w:tr>
    </w:tbl>
    <w:p w14:paraId="5D8D8CC6">
      <w:pPr>
        <w:widowControl/>
        <w:ind w:firstLine="480" w:firstLineChars="200"/>
        <w:jc w:val="left"/>
        <w:rPr>
          <w:rFonts w:ascii="楷体" w:hAnsi="楷体" w:eastAsia="楷体" w:cs="宋体"/>
          <w:color w:val="000000"/>
          <w:kern w:val="0"/>
          <w:sz w:val="24"/>
          <w:szCs w:val="24"/>
        </w:rPr>
      </w:pPr>
      <w:r>
        <w:rPr>
          <w:rFonts w:ascii="楷体" w:hAnsi="楷体" w:eastAsia="楷体" w:cs="宋体"/>
          <w:color w:val="000000"/>
          <w:kern w:val="0"/>
          <w:sz w:val="24"/>
          <w:szCs w:val="24"/>
        </w:rPr>
        <w:t>备注;本表一式三份， 教务科、 教务办、 授课教师各存一份， 附于《教师教学工作日志》。</w:t>
      </w:r>
    </w:p>
    <w:p w14:paraId="744579ED">
      <w:pPr>
        <w:overflowPunct w:val="0"/>
        <w:ind w:firstLine="600" w:firstLineChars="200"/>
        <w:rPr>
          <w:rFonts w:ascii="黑体" w:hAnsi="黑体" w:eastAsia="黑体"/>
          <w:sz w:val="30"/>
          <w:szCs w:val="30"/>
        </w:rPr>
      </w:pPr>
      <w:r>
        <w:rPr>
          <w:rFonts w:ascii="黑体" w:hAnsi="黑体" w:eastAsia="黑体"/>
          <w:sz w:val="30"/>
          <w:szCs w:val="30"/>
        </w:rPr>
        <w:t>附件 3：</w:t>
      </w:r>
    </w:p>
    <w:p w14:paraId="6A39144B">
      <w:pPr>
        <w:widowControl/>
        <w:jc w:val="center"/>
        <w:rPr>
          <w:rFonts w:ascii="宋体" w:hAnsi="宋体" w:eastAsia="宋体" w:cs="宋体"/>
          <w:b/>
          <w:kern w:val="0"/>
          <w:sz w:val="28"/>
          <w:szCs w:val="24"/>
        </w:rPr>
      </w:pPr>
      <w:r>
        <w:rPr>
          <w:rFonts w:ascii="仿宋_GB2312" w:hAnsi="宋体" w:eastAsia="仿宋_GB2312" w:cs="宋体"/>
          <w:b/>
          <w:color w:val="000000"/>
          <w:kern w:val="0"/>
          <w:sz w:val="36"/>
          <w:szCs w:val="32"/>
        </w:rPr>
        <w:t>专业人才培养方案审核意见表</w:t>
      </w:r>
    </w:p>
    <w:tbl>
      <w:tblPr>
        <w:tblStyle w:val="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55"/>
        <w:gridCol w:w="3402"/>
        <w:gridCol w:w="1842"/>
        <w:gridCol w:w="2035"/>
      </w:tblGrid>
      <w:tr w14:paraId="7F726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3D2BE9B4">
            <w:pPr>
              <w:widowControl/>
              <w:jc w:val="center"/>
              <w:rPr>
                <w:rFonts w:ascii="仿宋" w:hAnsi="仿宋" w:eastAsia="仿宋" w:cs="宋体"/>
                <w:b/>
                <w:kern w:val="0"/>
                <w:sz w:val="24"/>
                <w:szCs w:val="24"/>
              </w:rPr>
            </w:pPr>
            <w:r>
              <w:rPr>
                <w:rFonts w:ascii="仿宋" w:hAnsi="仿宋" w:eastAsia="仿宋" w:cs="宋体"/>
                <w:b/>
                <w:color w:val="000000"/>
                <w:kern w:val="0"/>
                <w:sz w:val="28"/>
                <w:szCs w:val="28"/>
              </w:rPr>
              <w:t>专业名称</w:t>
            </w:r>
          </w:p>
        </w:tc>
        <w:tc>
          <w:tcPr>
            <w:tcW w:w="3402" w:type="dxa"/>
            <w:tcBorders>
              <w:top w:val="single" w:color="auto" w:sz="4" w:space="0"/>
              <w:left w:val="single" w:color="auto" w:sz="4" w:space="0"/>
              <w:bottom w:val="single" w:color="auto" w:sz="4" w:space="0"/>
              <w:right w:val="single" w:color="auto" w:sz="4" w:space="0"/>
            </w:tcBorders>
            <w:vAlign w:val="center"/>
          </w:tcPr>
          <w:p w14:paraId="014819E7">
            <w:pPr>
              <w:widowControl/>
              <w:jc w:val="center"/>
              <w:rPr>
                <w:rFonts w:hint="eastAsia" w:ascii="仿宋" w:hAnsi="仿宋" w:eastAsia="仿宋" w:cs="宋体"/>
                <w:kern w:val="0"/>
                <w:sz w:val="24"/>
                <w:szCs w:val="24"/>
                <w:lang w:eastAsia="zh-CN"/>
              </w:rPr>
            </w:pPr>
            <w:r>
              <w:rPr>
                <w:rFonts w:hint="eastAsia" w:ascii="仿宋" w:hAnsi="仿宋" w:eastAsia="仿宋" w:cs="宋体"/>
                <w:color w:val="000000"/>
                <w:kern w:val="0"/>
                <w:sz w:val="28"/>
                <w:szCs w:val="28"/>
                <w:lang w:eastAsia="zh-CN"/>
              </w:rPr>
              <w:t>会计事务</w:t>
            </w:r>
          </w:p>
        </w:tc>
        <w:tc>
          <w:tcPr>
            <w:tcW w:w="1842" w:type="dxa"/>
            <w:tcBorders>
              <w:top w:val="single" w:color="auto" w:sz="4" w:space="0"/>
              <w:left w:val="single" w:color="auto" w:sz="4" w:space="0"/>
              <w:bottom w:val="single" w:color="auto" w:sz="4" w:space="0"/>
              <w:right w:val="single" w:color="auto" w:sz="4" w:space="0"/>
            </w:tcBorders>
            <w:vAlign w:val="center"/>
          </w:tcPr>
          <w:p w14:paraId="77D8C0D8">
            <w:pPr>
              <w:widowControl/>
              <w:jc w:val="center"/>
              <w:rPr>
                <w:rFonts w:ascii="仿宋" w:hAnsi="仿宋" w:eastAsia="仿宋" w:cs="宋体"/>
                <w:kern w:val="0"/>
                <w:sz w:val="24"/>
                <w:szCs w:val="24"/>
              </w:rPr>
            </w:pPr>
            <w:r>
              <w:rPr>
                <w:rFonts w:ascii="仿宋" w:hAnsi="仿宋" w:eastAsia="仿宋" w:cs="宋体"/>
                <w:color w:val="000000"/>
                <w:kern w:val="0"/>
                <w:sz w:val="28"/>
                <w:szCs w:val="28"/>
              </w:rPr>
              <w:t>专业方向</w:t>
            </w:r>
          </w:p>
        </w:tc>
        <w:tc>
          <w:tcPr>
            <w:tcW w:w="2035" w:type="dxa"/>
            <w:tcBorders>
              <w:top w:val="single" w:color="auto" w:sz="4" w:space="0"/>
              <w:left w:val="single" w:color="auto" w:sz="4" w:space="0"/>
              <w:bottom w:val="single" w:color="auto" w:sz="4" w:space="0"/>
              <w:right w:val="single" w:color="auto" w:sz="4" w:space="0"/>
            </w:tcBorders>
            <w:vAlign w:val="center"/>
          </w:tcPr>
          <w:p w14:paraId="7A3D670D">
            <w:pPr>
              <w:widowControl/>
              <w:jc w:val="center"/>
              <w:rPr>
                <w:rFonts w:ascii="仿宋" w:hAnsi="仿宋" w:eastAsia="仿宋" w:cs="宋体"/>
                <w:kern w:val="0"/>
                <w:sz w:val="24"/>
                <w:szCs w:val="24"/>
              </w:rPr>
            </w:pPr>
          </w:p>
        </w:tc>
      </w:tr>
      <w:tr w14:paraId="1CD30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35EC0F61">
            <w:pPr>
              <w:widowControl/>
              <w:jc w:val="center"/>
              <w:rPr>
                <w:rFonts w:ascii="仿宋" w:hAnsi="仿宋" w:eastAsia="仿宋" w:cs="宋体"/>
                <w:b/>
                <w:kern w:val="0"/>
                <w:sz w:val="24"/>
                <w:szCs w:val="24"/>
              </w:rPr>
            </w:pPr>
            <w:r>
              <w:rPr>
                <w:rFonts w:ascii="仿宋" w:hAnsi="仿宋" w:eastAsia="仿宋" w:cs="宋体"/>
                <w:b/>
                <w:color w:val="000000"/>
                <w:kern w:val="0"/>
                <w:sz w:val="28"/>
                <w:szCs w:val="28"/>
              </w:rPr>
              <w:t>使用年级</w:t>
            </w:r>
          </w:p>
        </w:tc>
        <w:tc>
          <w:tcPr>
            <w:tcW w:w="3402" w:type="dxa"/>
            <w:tcBorders>
              <w:top w:val="single" w:color="auto" w:sz="4" w:space="0"/>
              <w:left w:val="single" w:color="auto" w:sz="4" w:space="0"/>
              <w:bottom w:val="single" w:color="auto" w:sz="4" w:space="0"/>
              <w:right w:val="single" w:color="auto" w:sz="4" w:space="0"/>
            </w:tcBorders>
            <w:vAlign w:val="center"/>
          </w:tcPr>
          <w:p w14:paraId="1C615F39">
            <w:pPr>
              <w:widowControl/>
              <w:jc w:val="center"/>
              <w:rPr>
                <w:rFonts w:ascii="仿宋" w:hAnsi="仿宋" w:eastAsia="仿宋" w:cs="宋体"/>
                <w:kern w:val="0"/>
                <w:sz w:val="24"/>
                <w:szCs w:val="24"/>
              </w:rPr>
            </w:pPr>
            <w:r>
              <w:rPr>
                <w:rFonts w:ascii="仿宋" w:hAnsi="仿宋" w:eastAsia="仿宋" w:cs="宋体"/>
                <w:color w:val="000000"/>
                <w:kern w:val="0"/>
                <w:sz w:val="28"/>
                <w:szCs w:val="28"/>
              </w:rPr>
              <w:t>20XX</w:t>
            </w:r>
            <w:r>
              <w:rPr>
                <w:rFonts w:hint="eastAsia" w:ascii="仿宋" w:hAnsi="仿宋" w:eastAsia="仿宋" w:cs="宋体"/>
                <w:color w:val="000000"/>
                <w:kern w:val="0"/>
                <w:sz w:val="28"/>
                <w:szCs w:val="28"/>
              </w:rPr>
              <w:t>级</w:t>
            </w:r>
          </w:p>
        </w:tc>
        <w:tc>
          <w:tcPr>
            <w:tcW w:w="1842" w:type="dxa"/>
            <w:tcBorders>
              <w:top w:val="single" w:color="auto" w:sz="4" w:space="0"/>
              <w:left w:val="single" w:color="auto" w:sz="4" w:space="0"/>
              <w:bottom w:val="single" w:color="auto" w:sz="4" w:space="0"/>
              <w:right w:val="single" w:color="auto" w:sz="4" w:space="0"/>
            </w:tcBorders>
            <w:vAlign w:val="center"/>
          </w:tcPr>
          <w:p w14:paraId="7C7CB7EC">
            <w:pPr>
              <w:widowControl/>
              <w:jc w:val="center"/>
              <w:rPr>
                <w:rFonts w:ascii="仿宋" w:hAnsi="仿宋" w:eastAsia="仿宋" w:cs="宋体"/>
                <w:kern w:val="0"/>
                <w:sz w:val="24"/>
                <w:szCs w:val="24"/>
              </w:rPr>
            </w:pPr>
            <w:r>
              <w:rPr>
                <w:rFonts w:ascii="仿宋" w:hAnsi="仿宋" w:eastAsia="仿宋" w:cs="宋体"/>
                <w:color w:val="000000"/>
                <w:kern w:val="0"/>
                <w:sz w:val="28"/>
                <w:szCs w:val="28"/>
              </w:rPr>
              <w:t>学 制</w:t>
            </w:r>
          </w:p>
        </w:tc>
        <w:tc>
          <w:tcPr>
            <w:tcW w:w="2035" w:type="dxa"/>
            <w:tcBorders>
              <w:top w:val="single" w:color="auto" w:sz="4" w:space="0"/>
              <w:left w:val="single" w:color="auto" w:sz="4" w:space="0"/>
              <w:bottom w:val="single" w:color="auto" w:sz="4" w:space="0"/>
              <w:right w:val="single" w:color="auto" w:sz="4" w:space="0"/>
            </w:tcBorders>
            <w:vAlign w:val="center"/>
          </w:tcPr>
          <w:p w14:paraId="6D1B735D">
            <w:pPr>
              <w:widowControl/>
              <w:jc w:val="center"/>
              <w:rPr>
                <w:rFonts w:ascii="仿宋" w:hAnsi="仿宋" w:eastAsia="仿宋" w:cs="宋体"/>
                <w:kern w:val="0"/>
                <w:sz w:val="24"/>
                <w:szCs w:val="24"/>
              </w:rPr>
            </w:pPr>
            <w:r>
              <w:rPr>
                <w:rFonts w:ascii="仿宋" w:hAnsi="仿宋" w:eastAsia="仿宋" w:cs="宋体"/>
                <w:color w:val="000000"/>
                <w:kern w:val="0"/>
                <w:sz w:val="28"/>
                <w:szCs w:val="28"/>
              </w:rPr>
              <w:t>3</w:t>
            </w:r>
          </w:p>
        </w:tc>
      </w:tr>
      <w:tr w14:paraId="0B8A1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vMerge w:val="restart"/>
            <w:tcBorders>
              <w:top w:val="single" w:color="auto" w:sz="4" w:space="0"/>
              <w:left w:val="single" w:color="auto" w:sz="4" w:space="0"/>
              <w:right w:val="single" w:color="auto" w:sz="4" w:space="0"/>
            </w:tcBorders>
            <w:vAlign w:val="center"/>
          </w:tcPr>
          <w:p w14:paraId="14F8A3CB">
            <w:pPr>
              <w:widowControl/>
              <w:spacing w:line="560" w:lineRule="exact"/>
              <w:jc w:val="center"/>
              <w:rPr>
                <w:rFonts w:ascii="仿宋" w:hAnsi="仿宋" w:eastAsia="仿宋" w:cs="宋体"/>
                <w:b/>
                <w:kern w:val="0"/>
                <w:sz w:val="24"/>
                <w:szCs w:val="24"/>
              </w:rPr>
            </w:pPr>
            <w:r>
              <w:rPr>
                <w:rFonts w:ascii="仿宋" w:hAnsi="仿宋" w:eastAsia="仿宋" w:cs="宋体"/>
                <w:b/>
                <w:color w:val="000000"/>
                <w:kern w:val="0"/>
                <w:sz w:val="28"/>
                <w:szCs w:val="28"/>
              </w:rPr>
              <w:t>专家评审意见</w:t>
            </w:r>
          </w:p>
        </w:tc>
        <w:tc>
          <w:tcPr>
            <w:tcW w:w="7279" w:type="dxa"/>
            <w:gridSpan w:val="3"/>
            <w:tcBorders>
              <w:top w:val="single" w:color="auto" w:sz="4" w:space="0"/>
              <w:left w:val="single" w:color="auto" w:sz="4" w:space="0"/>
              <w:bottom w:val="single" w:color="auto" w:sz="4" w:space="0"/>
            </w:tcBorders>
            <w:vAlign w:val="center"/>
          </w:tcPr>
          <w:p w14:paraId="118114BB">
            <w:pPr>
              <w:widowControl/>
              <w:jc w:val="left"/>
              <w:rPr>
                <w:rFonts w:ascii="仿宋" w:hAnsi="仿宋" w:eastAsia="仿宋" w:cs="宋体"/>
                <w:color w:val="000000"/>
                <w:kern w:val="0"/>
                <w:sz w:val="28"/>
                <w:szCs w:val="28"/>
              </w:rPr>
            </w:pPr>
            <w:r>
              <w:rPr>
                <w:rFonts w:ascii="仿宋" w:hAnsi="仿宋" w:eastAsia="仿宋" w:cs="宋体"/>
                <w:color w:val="000000"/>
                <w:kern w:val="0"/>
                <w:sz w:val="28"/>
                <w:szCs w:val="28"/>
              </w:rPr>
              <w:t>专家意见：</w:t>
            </w:r>
            <w:r>
              <w:rPr>
                <w:rFonts w:ascii="仿宋" w:hAnsi="仿宋" w:eastAsia="仿宋" w:cs="宋体"/>
                <w:color w:val="000000"/>
                <w:kern w:val="0"/>
                <w:sz w:val="28"/>
                <w:szCs w:val="28"/>
              </w:rPr>
              <w:br w:type="textWrapping"/>
            </w:r>
          </w:p>
          <w:p w14:paraId="2FE00995">
            <w:pPr>
              <w:widowControl/>
              <w:jc w:val="left"/>
              <w:rPr>
                <w:rFonts w:ascii="仿宋" w:hAnsi="仿宋" w:eastAsia="仿宋" w:cs="宋体"/>
                <w:color w:val="000000"/>
                <w:kern w:val="0"/>
                <w:sz w:val="28"/>
                <w:szCs w:val="28"/>
              </w:rPr>
            </w:pPr>
          </w:p>
          <w:p w14:paraId="4EBBF721">
            <w:pPr>
              <w:widowControl/>
              <w:wordWrap w:val="0"/>
              <w:jc w:val="right"/>
              <w:rPr>
                <w:rFonts w:ascii="仿宋" w:hAnsi="仿宋" w:eastAsia="仿宋" w:cs="Times New Roman"/>
                <w:kern w:val="0"/>
                <w:sz w:val="20"/>
                <w:szCs w:val="20"/>
              </w:rPr>
            </w:pPr>
            <w:r>
              <w:rPr>
                <w:rFonts w:ascii="仿宋" w:hAnsi="仿宋" w:eastAsia="仿宋" w:cs="宋体"/>
                <w:color w:val="000000"/>
                <w:kern w:val="0"/>
                <w:sz w:val="28"/>
                <w:szCs w:val="28"/>
              </w:rPr>
              <w:t>专家签字：   年 月 日</w:t>
            </w:r>
          </w:p>
        </w:tc>
      </w:tr>
      <w:tr w14:paraId="392A0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vMerge w:val="continue"/>
            <w:tcBorders>
              <w:left w:val="single" w:color="auto" w:sz="4" w:space="0"/>
              <w:bottom w:val="single" w:color="auto" w:sz="4" w:space="0"/>
              <w:right w:val="single" w:color="auto" w:sz="4" w:space="0"/>
            </w:tcBorders>
            <w:vAlign w:val="center"/>
          </w:tcPr>
          <w:p w14:paraId="5DDEEC46">
            <w:pPr>
              <w:widowControl/>
              <w:spacing w:line="560" w:lineRule="exact"/>
              <w:jc w:val="center"/>
              <w:rPr>
                <w:rFonts w:ascii="仿宋" w:hAnsi="仿宋" w:eastAsia="仿宋" w:cs="宋体"/>
                <w:b/>
                <w:kern w:val="0"/>
                <w:sz w:val="24"/>
                <w:szCs w:val="24"/>
              </w:rPr>
            </w:pPr>
          </w:p>
        </w:tc>
        <w:tc>
          <w:tcPr>
            <w:tcW w:w="7279" w:type="dxa"/>
            <w:gridSpan w:val="3"/>
            <w:vAlign w:val="center"/>
          </w:tcPr>
          <w:p w14:paraId="00385D54">
            <w:pPr>
              <w:widowControl/>
              <w:jc w:val="left"/>
              <w:rPr>
                <w:rFonts w:ascii="仿宋" w:hAnsi="仿宋" w:eastAsia="仿宋" w:cs="宋体"/>
                <w:color w:val="000000"/>
                <w:kern w:val="0"/>
                <w:sz w:val="28"/>
                <w:szCs w:val="28"/>
              </w:rPr>
            </w:pPr>
            <w:r>
              <w:rPr>
                <w:rFonts w:ascii="仿宋" w:hAnsi="仿宋" w:eastAsia="仿宋" w:cs="宋体"/>
                <w:color w:val="000000"/>
                <w:kern w:val="0"/>
                <w:sz w:val="28"/>
                <w:szCs w:val="28"/>
              </w:rPr>
              <w:t>专家意见：</w:t>
            </w:r>
            <w:r>
              <w:rPr>
                <w:rFonts w:ascii="仿宋" w:hAnsi="仿宋" w:eastAsia="仿宋" w:cs="宋体"/>
                <w:color w:val="000000"/>
                <w:kern w:val="0"/>
                <w:sz w:val="28"/>
                <w:szCs w:val="28"/>
              </w:rPr>
              <w:br w:type="textWrapping"/>
            </w:r>
          </w:p>
          <w:p w14:paraId="03BF675E">
            <w:pPr>
              <w:widowControl/>
              <w:jc w:val="left"/>
              <w:rPr>
                <w:rFonts w:ascii="仿宋" w:hAnsi="仿宋" w:eastAsia="仿宋" w:cs="宋体"/>
                <w:color w:val="000000"/>
                <w:kern w:val="0"/>
                <w:sz w:val="28"/>
                <w:szCs w:val="28"/>
              </w:rPr>
            </w:pPr>
          </w:p>
          <w:p w14:paraId="580A088B">
            <w:pPr>
              <w:widowControl/>
              <w:wordWrap w:val="0"/>
              <w:jc w:val="right"/>
              <w:rPr>
                <w:rFonts w:ascii="仿宋" w:hAnsi="仿宋" w:eastAsia="仿宋" w:cs="Times New Roman"/>
                <w:kern w:val="0"/>
                <w:sz w:val="20"/>
                <w:szCs w:val="20"/>
              </w:rPr>
            </w:pPr>
            <w:r>
              <w:rPr>
                <w:rFonts w:ascii="仿宋" w:hAnsi="仿宋" w:eastAsia="仿宋" w:cs="宋体"/>
                <w:color w:val="000000"/>
                <w:kern w:val="0"/>
                <w:sz w:val="28"/>
                <w:szCs w:val="28"/>
              </w:rPr>
              <w:t>专家签字：   年 月 日</w:t>
            </w:r>
          </w:p>
        </w:tc>
      </w:tr>
      <w:tr w14:paraId="0332C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72A41064">
            <w:pPr>
              <w:widowControl/>
              <w:spacing w:line="560" w:lineRule="exact"/>
              <w:jc w:val="center"/>
              <w:rPr>
                <w:rFonts w:ascii="仿宋" w:hAnsi="仿宋" w:eastAsia="仿宋" w:cs="宋体"/>
                <w:b/>
                <w:kern w:val="0"/>
                <w:sz w:val="24"/>
                <w:szCs w:val="24"/>
              </w:rPr>
            </w:pPr>
            <w:r>
              <w:rPr>
                <w:rFonts w:ascii="仿宋" w:hAnsi="仿宋" w:eastAsia="仿宋" w:cs="宋体"/>
                <w:b/>
                <w:color w:val="000000"/>
                <w:kern w:val="0"/>
                <w:sz w:val="28"/>
                <w:szCs w:val="28"/>
              </w:rPr>
              <w:t>教</w:t>
            </w:r>
            <w:r>
              <w:rPr>
                <w:rFonts w:hint="eastAsia" w:ascii="仿宋" w:hAnsi="仿宋" w:eastAsia="仿宋" w:cs="宋体"/>
                <w:b/>
                <w:color w:val="000000"/>
                <w:kern w:val="0"/>
                <w:sz w:val="28"/>
                <w:szCs w:val="28"/>
              </w:rPr>
              <w:t>学部</w:t>
            </w:r>
            <w:r>
              <w:rPr>
                <w:rFonts w:ascii="仿宋" w:hAnsi="仿宋" w:eastAsia="仿宋" w:cs="宋体"/>
                <w:b/>
                <w:color w:val="000000"/>
                <w:kern w:val="0"/>
                <w:sz w:val="28"/>
                <w:szCs w:val="28"/>
              </w:rPr>
              <w:t>审核意见</w:t>
            </w:r>
          </w:p>
        </w:tc>
        <w:tc>
          <w:tcPr>
            <w:tcW w:w="7279" w:type="dxa"/>
            <w:gridSpan w:val="3"/>
            <w:tcBorders>
              <w:top w:val="single" w:color="auto" w:sz="4" w:space="0"/>
              <w:left w:val="single" w:color="auto" w:sz="4" w:space="0"/>
              <w:bottom w:val="single" w:color="auto" w:sz="4" w:space="0"/>
            </w:tcBorders>
            <w:vAlign w:val="center"/>
          </w:tcPr>
          <w:p w14:paraId="10A07B07">
            <w:pPr>
              <w:widowControl/>
              <w:jc w:val="right"/>
              <w:rPr>
                <w:rFonts w:ascii="仿宋" w:hAnsi="仿宋" w:eastAsia="仿宋" w:cs="宋体"/>
                <w:color w:val="000000"/>
                <w:kern w:val="0"/>
                <w:sz w:val="28"/>
                <w:szCs w:val="28"/>
              </w:rPr>
            </w:pPr>
          </w:p>
          <w:p w14:paraId="5CB7B651">
            <w:pPr>
              <w:widowControl/>
              <w:wordWrap w:val="0"/>
              <w:jc w:val="right"/>
              <w:rPr>
                <w:rFonts w:ascii="仿宋" w:hAnsi="仿宋" w:eastAsia="仿宋" w:cs="Times New Roman"/>
                <w:kern w:val="0"/>
                <w:sz w:val="20"/>
                <w:szCs w:val="20"/>
              </w:rPr>
            </w:pPr>
            <w:r>
              <w:rPr>
                <w:rFonts w:ascii="仿宋" w:hAnsi="仿宋" w:eastAsia="仿宋" w:cs="宋体"/>
                <w:color w:val="000000"/>
                <w:kern w:val="0"/>
                <w:sz w:val="28"/>
                <w:szCs w:val="28"/>
              </w:rPr>
              <w:t>负责人签字（盖章）：</w:t>
            </w:r>
            <w:r>
              <w:rPr>
                <w:rFonts w:hint="eastAsia" w:ascii="仿宋" w:hAnsi="仿宋" w:eastAsia="仿宋" w:cs="宋体"/>
                <w:color w:val="000000"/>
                <w:kern w:val="0"/>
                <w:sz w:val="28"/>
                <w:szCs w:val="28"/>
              </w:rPr>
              <w:t xml:space="preserve">  </w:t>
            </w:r>
            <w:r>
              <w:rPr>
                <w:rFonts w:ascii="仿宋" w:hAnsi="仿宋" w:eastAsia="仿宋" w:cs="宋体"/>
                <w:color w:val="000000"/>
                <w:kern w:val="0"/>
                <w:sz w:val="28"/>
                <w:szCs w:val="28"/>
              </w:rPr>
              <w:t xml:space="preserve"> 年 月 日</w:t>
            </w:r>
          </w:p>
        </w:tc>
      </w:tr>
      <w:tr w14:paraId="39D5F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2A665146">
            <w:pPr>
              <w:widowControl/>
              <w:spacing w:line="560" w:lineRule="exact"/>
              <w:jc w:val="center"/>
              <w:rPr>
                <w:rFonts w:ascii="仿宋" w:hAnsi="仿宋" w:eastAsia="仿宋" w:cs="宋体"/>
                <w:b/>
                <w:kern w:val="0"/>
                <w:sz w:val="24"/>
                <w:szCs w:val="24"/>
              </w:rPr>
            </w:pPr>
            <w:r>
              <w:rPr>
                <w:rFonts w:ascii="仿宋" w:hAnsi="仿宋" w:eastAsia="仿宋" w:cs="宋体"/>
                <w:b/>
                <w:color w:val="000000"/>
                <w:kern w:val="0"/>
                <w:sz w:val="28"/>
                <w:szCs w:val="28"/>
              </w:rPr>
              <w:t>教</w:t>
            </w:r>
            <w:r>
              <w:rPr>
                <w:rFonts w:hint="eastAsia" w:ascii="仿宋" w:hAnsi="仿宋" w:eastAsia="仿宋" w:cs="宋体"/>
                <w:b/>
                <w:color w:val="000000"/>
                <w:kern w:val="0"/>
                <w:sz w:val="28"/>
                <w:szCs w:val="28"/>
              </w:rPr>
              <w:t>学处</w:t>
            </w:r>
            <w:r>
              <w:rPr>
                <w:rFonts w:ascii="仿宋" w:hAnsi="仿宋" w:eastAsia="仿宋" w:cs="宋体"/>
                <w:b/>
                <w:color w:val="000000"/>
                <w:kern w:val="0"/>
                <w:sz w:val="28"/>
                <w:szCs w:val="28"/>
              </w:rPr>
              <w:t>审核意见</w:t>
            </w:r>
          </w:p>
        </w:tc>
        <w:tc>
          <w:tcPr>
            <w:tcW w:w="7279" w:type="dxa"/>
            <w:gridSpan w:val="3"/>
            <w:tcBorders>
              <w:top w:val="single" w:color="auto" w:sz="4" w:space="0"/>
              <w:left w:val="single" w:color="auto" w:sz="4" w:space="0"/>
              <w:bottom w:val="single" w:color="auto" w:sz="4" w:space="0"/>
            </w:tcBorders>
            <w:vAlign w:val="center"/>
          </w:tcPr>
          <w:p w14:paraId="0BD0D991">
            <w:pPr>
              <w:widowControl/>
              <w:jc w:val="right"/>
              <w:rPr>
                <w:rFonts w:ascii="仿宋" w:hAnsi="仿宋" w:eastAsia="仿宋" w:cs="宋体"/>
                <w:color w:val="000000"/>
                <w:kern w:val="0"/>
                <w:sz w:val="28"/>
                <w:szCs w:val="28"/>
              </w:rPr>
            </w:pPr>
          </w:p>
          <w:p w14:paraId="4308D84B">
            <w:pPr>
              <w:widowControl/>
              <w:wordWrap w:val="0"/>
              <w:jc w:val="right"/>
              <w:rPr>
                <w:rFonts w:ascii="仿宋" w:hAnsi="仿宋" w:eastAsia="仿宋" w:cs="Times New Roman"/>
                <w:kern w:val="0"/>
                <w:sz w:val="20"/>
                <w:szCs w:val="20"/>
              </w:rPr>
            </w:pPr>
            <w:r>
              <w:rPr>
                <w:rFonts w:ascii="仿宋" w:hAnsi="仿宋" w:eastAsia="仿宋" w:cs="宋体"/>
                <w:color w:val="000000"/>
                <w:kern w:val="0"/>
                <w:sz w:val="28"/>
                <w:szCs w:val="28"/>
              </w:rPr>
              <w:t>负责人签字（盖章）：</w:t>
            </w:r>
            <w:r>
              <w:rPr>
                <w:rFonts w:hint="eastAsia" w:ascii="仿宋" w:hAnsi="仿宋" w:eastAsia="仿宋" w:cs="宋体"/>
                <w:color w:val="000000"/>
                <w:kern w:val="0"/>
                <w:sz w:val="28"/>
                <w:szCs w:val="28"/>
              </w:rPr>
              <w:t xml:space="preserve">  </w:t>
            </w:r>
            <w:r>
              <w:rPr>
                <w:rFonts w:ascii="仿宋" w:hAnsi="仿宋" w:eastAsia="仿宋" w:cs="宋体"/>
                <w:color w:val="000000"/>
                <w:kern w:val="0"/>
                <w:sz w:val="28"/>
                <w:szCs w:val="28"/>
              </w:rPr>
              <w:t xml:space="preserve"> 年 月 日</w:t>
            </w:r>
          </w:p>
        </w:tc>
      </w:tr>
      <w:tr w14:paraId="73325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75CCE1EF">
            <w:pPr>
              <w:widowControl/>
              <w:spacing w:line="560" w:lineRule="exact"/>
              <w:jc w:val="center"/>
              <w:rPr>
                <w:rFonts w:ascii="仿宋" w:hAnsi="仿宋" w:eastAsia="仿宋" w:cs="宋体"/>
                <w:b/>
                <w:kern w:val="0"/>
                <w:sz w:val="24"/>
                <w:szCs w:val="24"/>
              </w:rPr>
            </w:pPr>
            <w:r>
              <w:rPr>
                <w:rFonts w:ascii="仿宋" w:hAnsi="仿宋" w:eastAsia="仿宋" w:cs="宋体"/>
                <w:b/>
                <w:color w:val="000000"/>
                <w:kern w:val="0"/>
                <w:sz w:val="28"/>
                <w:szCs w:val="28"/>
              </w:rPr>
              <w:t>主管校长审核意见</w:t>
            </w:r>
          </w:p>
        </w:tc>
        <w:tc>
          <w:tcPr>
            <w:tcW w:w="7279" w:type="dxa"/>
            <w:gridSpan w:val="3"/>
            <w:tcBorders>
              <w:top w:val="single" w:color="auto" w:sz="4" w:space="0"/>
              <w:left w:val="single" w:color="auto" w:sz="4" w:space="0"/>
              <w:bottom w:val="single" w:color="auto" w:sz="4" w:space="0"/>
            </w:tcBorders>
            <w:vAlign w:val="center"/>
          </w:tcPr>
          <w:p w14:paraId="05EFAAD8">
            <w:pPr>
              <w:widowControl/>
              <w:jc w:val="right"/>
              <w:rPr>
                <w:rFonts w:ascii="仿宋" w:hAnsi="仿宋" w:eastAsia="仿宋" w:cs="宋体"/>
                <w:color w:val="000000"/>
                <w:kern w:val="0"/>
                <w:sz w:val="28"/>
                <w:szCs w:val="28"/>
              </w:rPr>
            </w:pPr>
          </w:p>
          <w:p w14:paraId="785B816E">
            <w:pPr>
              <w:widowControl/>
              <w:wordWrap w:val="0"/>
              <w:jc w:val="right"/>
              <w:rPr>
                <w:rFonts w:ascii="仿宋" w:hAnsi="仿宋" w:eastAsia="仿宋" w:cs="Times New Roman"/>
                <w:kern w:val="0"/>
                <w:sz w:val="20"/>
                <w:szCs w:val="20"/>
              </w:rPr>
            </w:pPr>
            <w:r>
              <w:rPr>
                <w:rFonts w:ascii="仿宋" w:hAnsi="仿宋" w:eastAsia="仿宋" w:cs="宋体"/>
                <w:color w:val="000000"/>
                <w:kern w:val="0"/>
                <w:sz w:val="28"/>
                <w:szCs w:val="28"/>
              </w:rPr>
              <w:t>主管校长签字：</w:t>
            </w:r>
            <w:r>
              <w:rPr>
                <w:rFonts w:hint="eastAsia" w:ascii="仿宋" w:hAnsi="仿宋" w:eastAsia="仿宋" w:cs="宋体"/>
                <w:color w:val="000000"/>
                <w:kern w:val="0"/>
                <w:sz w:val="28"/>
                <w:szCs w:val="28"/>
              </w:rPr>
              <w:t xml:space="preserve">  </w:t>
            </w:r>
            <w:r>
              <w:rPr>
                <w:rFonts w:ascii="仿宋" w:hAnsi="仿宋" w:eastAsia="仿宋" w:cs="宋体"/>
                <w:color w:val="000000"/>
                <w:kern w:val="0"/>
                <w:sz w:val="28"/>
                <w:szCs w:val="28"/>
              </w:rPr>
              <w:t xml:space="preserve"> 年 月 日</w:t>
            </w:r>
          </w:p>
        </w:tc>
      </w:tr>
      <w:tr w14:paraId="2474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vAlign w:val="center"/>
          </w:tcPr>
          <w:p w14:paraId="531F1C9E">
            <w:pPr>
              <w:widowControl/>
              <w:spacing w:line="560" w:lineRule="exact"/>
              <w:jc w:val="center"/>
              <w:rPr>
                <w:rFonts w:ascii="仿宋" w:hAnsi="仿宋" w:eastAsia="仿宋" w:cs="宋体"/>
                <w:b/>
                <w:kern w:val="0"/>
                <w:sz w:val="24"/>
                <w:szCs w:val="24"/>
              </w:rPr>
            </w:pPr>
            <w:r>
              <w:rPr>
                <w:rFonts w:ascii="仿宋" w:hAnsi="仿宋" w:eastAsia="仿宋" w:cs="宋体"/>
                <w:b/>
                <w:color w:val="000000"/>
                <w:kern w:val="0"/>
                <w:sz w:val="28"/>
                <w:szCs w:val="28"/>
              </w:rPr>
              <w:t>校长审核意见</w:t>
            </w:r>
          </w:p>
        </w:tc>
        <w:tc>
          <w:tcPr>
            <w:tcW w:w="7279" w:type="dxa"/>
            <w:gridSpan w:val="3"/>
            <w:tcBorders>
              <w:top w:val="single" w:color="auto" w:sz="4" w:space="0"/>
              <w:left w:val="single" w:color="auto" w:sz="4" w:space="0"/>
              <w:bottom w:val="single" w:color="auto" w:sz="4" w:space="0"/>
            </w:tcBorders>
            <w:vAlign w:val="center"/>
          </w:tcPr>
          <w:p w14:paraId="24FF5E98">
            <w:pPr>
              <w:widowControl/>
              <w:jc w:val="right"/>
              <w:rPr>
                <w:rFonts w:ascii="仿宋" w:hAnsi="仿宋" w:eastAsia="仿宋" w:cs="宋体"/>
                <w:color w:val="000000"/>
                <w:kern w:val="0"/>
                <w:sz w:val="28"/>
                <w:szCs w:val="28"/>
              </w:rPr>
            </w:pPr>
          </w:p>
          <w:p w14:paraId="401F64DC">
            <w:pPr>
              <w:widowControl/>
              <w:wordWrap w:val="0"/>
              <w:jc w:val="right"/>
              <w:rPr>
                <w:rFonts w:ascii="仿宋" w:hAnsi="仿宋" w:eastAsia="仿宋" w:cs="Times New Roman"/>
                <w:kern w:val="0"/>
                <w:sz w:val="20"/>
                <w:szCs w:val="20"/>
              </w:rPr>
            </w:pPr>
            <w:r>
              <w:rPr>
                <w:rFonts w:ascii="仿宋" w:hAnsi="仿宋" w:eastAsia="仿宋" w:cs="宋体"/>
                <w:color w:val="000000"/>
                <w:kern w:val="0"/>
                <w:sz w:val="28"/>
                <w:szCs w:val="28"/>
              </w:rPr>
              <w:t>校长签字：</w:t>
            </w:r>
            <w:r>
              <w:rPr>
                <w:rFonts w:hint="eastAsia" w:ascii="仿宋" w:hAnsi="仿宋" w:eastAsia="仿宋" w:cs="宋体"/>
                <w:color w:val="000000"/>
                <w:kern w:val="0"/>
                <w:sz w:val="28"/>
                <w:szCs w:val="28"/>
              </w:rPr>
              <w:t xml:space="preserve">  </w:t>
            </w:r>
            <w:r>
              <w:rPr>
                <w:rFonts w:ascii="仿宋" w:hAnsi="仿宋" w:eastAsia="仿宋" w:cs="宋体"/>
                <w:color w:val="000000"/>
                <w:kern w:val="0"/>
                <w:sz w:val="28"/>
                <w:szCs w:val="28"/>
              </w:rPr>
              <w:t xml:space="preserve"> 年 月 日</w:t>
            </w:r>
          </w:p>
        </w:tc>
      </w:tr>
    </w:tbl>
    <w:p w14:paraId="2871C320">
      <w:pPr>
        <w:widowControl/>
        <w:jc w:val="left"/>
        <w:rPr>
          <w:rFonts w:ascii="楷体" w:hAnsi="楷体" w:eastAsia="楷体"/>
          <w:sz w:val="28"/>
          <w:szCs w:val="28"/>
        </w:rPr>
      </w:pP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DA27A"/>
    <w:multiLevelType w:val="singleLevel"/>
    <w:tmpl w:val="0EBDA2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82"/>
    <w:rsid w:val="00060C36"/>
    <w:rsid w:val="00314C07"/>
    <w:rsid w:val="00361E77"/>
    <w:rsid w:val="003F0704"/>
    <w:rsid w:val="003F3F32"/>
    <w:rsid w:val="00437379"/>
    <w:rsid w:val="00466CC7"/>
    <w:rsid w:val="004D28FC"/>
    <w:rsid w:val="00505197"/>
    <w:rsid w:val="005D7A82"/>
    <w:rsid w:val="007A4F75"/>
    <w:rsid w:val="007B06CE"/>
    <w:rsid w:val="00850F3C"/>
    <w:rsid w:val="0087785B"/>
    <w:rsid w:val="009F2CC7"/>
    <w:rsid w:val="00A23669"/>
    <w:rsid w:val="00AF7330"/>
    <w:rsid w:val="00BC27E0"/>
    <w:rsid w:val="00DD4F54"/>
    <w:rsid w:val="00DD714D"/>
    <w:rsid w:val="00E70288"/>
    <w:rsid w:val="00E928C8"/>
    <w:rsid w:val="00F361CA"/>
    <w:rsid w:val="00F71650"/>
    <w:rsid w:val="00FA565A"/>
    <w:rsid w:val="057B27C8"/>
    <w:rsid w:val="12597320"/>
    <w:rsid w:val="13D31521"/>
    <w:rsid w:val="16AC6321"/>
    <w:rsid w:val="22816AF0"/>
    <w:rsid w:val="2C44237D"/>
    <w:rsid w:val="47FA65A7"/>
    <w:rsid w:val="4DD04D61"/>
    <w:rsid w:val="517915DE"/>
    <w:rsid w:val="53D855EF"/>
    <w:rsid w:val="57E024E0"/>
    <w:rsid w:val="58C47EF0"/>
    <w:rsid w:val="5AF61465"/>
    <w:rsid w:val="620826E5"/>
    <w:rsid w:val="6AE0505D"/>
    <w:rsid w:val="75627A8C"/>
    <w:rsid w:val="7863555C"/>
    <w:rsid w:val="7CFA5294"/>
    <w:rsid w:val="7FEC7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qFormat/>
    <w:uiPriority w:val="1"/>
    <w:pPr>
      <w:spacing w:before="130"/>
      <w:ind w:left="458" w:hanging="351"/>
      <w:jc w:val="both"/>
      <w:outlineLvl w:val="1"/>
    </w:pPr>
    <w:rPr>
      <w:rFonts w:ascii="宋体" w:hAnsi="宋体" w:eastAsia="宋体" w:cs="宋体"/>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6"/>
      <w:szCs w:val="36"/>
      <w:lang w:val="en-US" w:eastAsia="en-US" w:bidi="ar-SA"/>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w:basedOn w:val="1"/>
    <w:qFormat/>
    <w:uiPriority w:val="0"/>
    <w:rPr>
      <w:rFonts w:ascii="Times New Roman" w:hAnsi="Times New Roman" w:eastAsia="仿宋_GB2312" w:cs="Times New Roman"/>
      <w:sz w:val="32"/>
      <w:szCs w:val="32"/>
    </w:rPr>
  </w:style>
  <w:style w:type="character" w:customStyle="1" w:styleId="9">
    <w:name w:val="fontstyle01"/>
    <w:basedOn w:val="7"/>
    <w:qFormat/>
    <w:uiPriority w:val="0"/>
    <w:rPr>
      <w:rFonts w:hint="eastAsia" w:ascii="黑体" w:hAnsi="黑体" w:eastAsia="黑体"/>
      <w:color w:val="000000"/>
      <w:sz w:val="28"/>
      <w:szCs w:val="28"/>
    </w:rPr>
  </w:style>
  <w:style w:type="character" w:customStyle="1" w:styleId="10">
    <w:name w:val="fontstyle21"/>
    <w:basedOn w:val="7"/>
    <w:qFormat/>
    <w:uiPriority w:val="0"/>
    <w:rPr>
      <w:rFonts w:hint="eastAsia" w:ascii="仿宋_GB2312" w:eastAsia="仿宋_GB2312"/>
      <w:color w:val="000000"/>
      <w:sz w:val="32"/>
      <w:szCs w:val="32"/>
    </w:rPr>
  </w:style>
  <w:style w:type="character" w:customStyle="1" w:styleId="11">
    <w:name w:val="fontstyle31"/>
    <w:basedOn w:val="7"/>
    <w:qFormat/>
    <w:uiPriority w:val="0"/>
    <w:rPr>
      <w:rFonts w:hint="default" w:ascii="仿宋" w:hAnsi="仿宋"/>
      <w:color w:val="000000"/>
      <w:sz w:val="28"/>
      <w:szCs w:val="28"/>
    </w:rPr>
  </w:style>
  <w:style w:type="character" w:customStyle="1" w:styleId="12">
    <w:name w:val="fontstyle41"/>
    <w:basedOn w:val="7"/>
    <w:qFormat/>
    <w:uiPriority w:val="0"/>
    <w:rPr>
      <w:rFonts w:hint="default" w:ascii="楷体" w:hAnsi="楷体"/>
      <w:color w:val="000000"/>
      <w:sz w:val="24"/>
      <w:szCs w:val="24"/>
    </w:rPr>
  </w:style>
  <w:style w:type="character" w:customStyle="1" w:styleId="13">
    <w:name w:val="fontstyle11"/>
    <w:basedOn w:val="7"/>
    <w:qFormat/>
    <w:uiPriority w:val="0"/>
    <w:rPr>
      <w:rFonts w:hint="default" w:ascii="仿宋" w:hAnsi="仿宋"/>
      <w:color w:val="000000"/>
      <w:sz w:val="28"/>
      <w:szCs w:val="28"/>
    </w:rPr>
  </w:style>
  <w:style w:type="paragraph" w:styleId="14">
    <w:name w:val="List Paragraph"/>
    <w:basedOn w:val="1"/>
    <w:qFormat/>
    <w:uiPriority w:val="34"/>
    <w:pPr>
      <w:ind w:firstLine="420" w:firstLineChars="200"/>
    </w:pPr>
  </w:style>
  <w:style w:type="paragraph" w:customStyle="1" w:styleId="15">
    <w:name w:val="Table Text"/>
    <w:basedOn w:val="1"/>
    <w:semiHidden/>
    <w:qFormat/>
    <w:uiPriority w:val="0"/>
    <w:rPr>
      <w:rFonts w:ascii="宋体" w:hAnsi="宋体" w:eastAsia="宋体" w:cs="宋体"/>
      <w:sz w:val="18"/>
      <w:szCs w:val="18"/>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29</Pages>
  <Words>2636</Words>
  <Characters>3261</Characters>
  <Lines>25</Lines>
  <Paragraphs>7</Paragraphs>
  <TotalTime>82</TotalTime>
  <ScaleCrop>false</ScaleCrop>
  <LinksUpToDate>false</LinksUpToDate>
  <CharactersWithSpaces>3494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2022-02-24T01:12:00Z</dcterms:created>
  <dc:creator>User</dc:creator>
  <cp:lastModifiedBy>书瑜妈</cp:lastModifiedBy>
  <dcterms:modified xsi:type="dcterms:W3CDTF">2025-06-08T12:37:58Z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3BBBD08BB78947898D8CE5D886A8EB55_13</vt:lpwstr>
  </property>
  <property fmtid="{D5CDD505-2E9C-101B-9397-08002B2CF9AE}" pid="4" name="KSOTemplateDocerSaveRecord">
    <vt:lpwstr>eyJoZGlkIjoiYzgxNDc3YTBiYmI3MjBlMDUzMzczMmZlMTdmNTEwNTciLCJ1c2VySWQiOiI0MzkxMDgxNDYifQ==</vt:lpwstr>
  </property>
</Properties>
</file>